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76A" w:rsidRDefault="0031076A">
      <w:pPr>
        <w:pStyle w:val="BodyText"/>
        <w:spacing w:before="5"/>
        <w:rPr>
          <w:rFonts w:ascii="Times New Roman"/>
          <w:sz w:val="25"/>
        </w:rPr>
      </w:pPr>
      <w:bookmarkStart w:id="0" w:name="_GoBack"/>
      <w:bookmarkEnd w:id="0"/>
    </w:p>
    <w:p w:rsidR="0031076A" w:rsidRDefault="00935374">
      <w:pPr>
        <w:pStyle w:val="Heading2"/>
        <w:spacing w:before="77"/>
        <w:ind w:left="100" w:right="767"/>
        <w:rPr>
          <w:rFonts w:ascii="Garamond" w:hAnsi="Garamond"/>
        </w:rPr>
      </w:pPr>
      <w:r>
        <w:rPr>
          <w:rFonts w:ascii="Garamond" w:hAnsi="Garamond"/>
        </w:rPr>
        <w:t>Does a Criminal Past Predict Worker Performance? Evidence from America’s Largest Employer</w:t>
      </w:r>
    </w:p>
    <w:p w:rsidR="0031076A" w:rsidRDefault="00935374">
      <w:pPr>
        <w:pStyle w:val="BodyText"/>
        <w:spacing w:before="1"/>
        <w:ind w:left="100" w:right="4100"/>
      </w:pPr>
      <w:r>
        <w:t xml:space="preserve">Jennifer Lundquist, University of Massachusetts Amherst </w:t>
      </w:r>
      <w:proofErr w:type="spellStart"/>
      <w:r>
        <w:t>Devah</w:t>
      </w:r>
      <w:proofErr w:type="spellEnd"/>
      <w:r>
        <w:t xml:space="preserve"> Pager, Harvard University</w:t>
      </w:r>
    </w:p>
    <w:p w:rsidR="0031076A" w:rsidRDefault="00935374">
      <w:pPr>
        <w:pStyle w:val="BodyText"/>
        <w:spacing w:before="1"/>
        <w:ind w:left="100" w:right="767"/>
      </w:pPr>
      <w:proofErr w:type="spellStart"/>
      <w:r>
        <w:t>Eiko</w:t>
      </w:r>
      <w:proofErr w:type="spellEnd"/>
      <w:r>
        <w:t xml:space="preserve"> </w:t>
      </w:r>
      <w:proofErr w:type="spellStart"/>
      <w:r>
        <w:t>Strader</w:t>
      </w:r>
      <w:proofErr w:type="spellEnd"/>
      <w:r>
        <w:t>, University of Massachusetts Amherst</w:t>
      </w:r>
    </w:p>
    <w:p w:rsidR="0031076A" w:rsidRDefault="0031076A">
      <w:pPr>
        <w:pStyle w:val="BodyText"/>
        <w:spacing w:before="8"/>
        <w:rPr>
          <w:sz w:val="23"/>
        </w:rPr>
      </w:pPr>
    </w:p>
    <w:p w:rsidR="0031076A" w:rsidRPr="00000CBF" w:rsidRDefault="00935374">
      <w:pPr>
        <w:spacing w:before="1"/>
        <w:ind w:left="100" w:right="291"/>
        <w:rPr>
          <w:sz w:val="28"/>
        </w:rPr>
      </w:pPr>
      <w:r w:rsidRPr="00000CBF">
        <w:rPr>
          <w:sz w:val="28"/>
        </w:rPr>
        <w:t xml:space="preserve">"...the Army does no systematic tracking of recruits with waivers [for criminal records] once it signs them up, and it does not always pay enough attention to any adjustment problems. Without adequate monitoring and counseling, handing out guns to people who have already committed crimes poses a danger to the other individuals they serve with and to the innocent civilians they are supposed to protect." </w:t>
      </w:r>
      <w:hyperlink r:id="rId6">
        <w:proofErr w:type="spellStart"/>
        <w:r w:rsidRPr="00000CBF">
          <w:rPr>
            <w:sz w:val="28"/>
            <w:u w:val="single"/>
          </w:rPr>
          <w:t>NYTimes</w:t>
        </w:r>
        <w:proofErr w:type="spellEnd"/>
        <w:r w:rsidRPr="00000CBF">
          <w:rPr>
            <w:sz w:val="28"/>
            <w:u w:val="single"/>
          </w:rPr>
          <w:t xml:space="preserve"> editorial </w:t>
        </w:r>
      </w:hyperlink>
      <w:r w:rsidRPr="00000CBF">
        <w:rPr>
          <w:sz w:val="28"/>
        </w:rPr>
        <w:t>2007</w:t>
      </w:r>
    </w:p>
    <w:p w:rsidR="0031076A" w:rsidRPr="00000CBF" w:rsidRDefault="0031076A">
      <w:pPr>
        <w:pStyle w:val="BodyText"/>
        <w:spacing w:before="2"/>
        <w:rPr>
          <w:sz w:val="18"/>
        </w:rPr>
      </w:pPr>
    </w:p>
    <w:p w:rsidR="0031076A" w:rsidRPr="00B003FE" w:rsidRDefault="00935374">
      <w:pPr>
        <w:spacing w:before="77"/>
        <w:ind w:left="100" w:right="185"/>
        <w:rPr>
          <w:b/>
          <w:sz w:val="28"/>
        </w:rPr>
      </w:pPr>
      <w:r w:rsidRPr="00000CBF">
        <w:rPr>
          <w:sz w:val="28"/>
        </w:rPr>
        <w:t xml:space="preserve">“As many as 572,000 non-fatal crimes occurred in the American workplace in a single year. These figures are staggering considering a majority of the victims whose assailants were other employees and acquaintances. </w:t>
      </w:r>
      <w:r w:rsidRPr="00B003FE">
        <w:rPr>
          <w:b/>
          <w:sz w:val="28"/>
        </w:rPr>
        <w:t xml:space="preserve">Yet, in many of these cases, the violence could have been prevented simply by conducting background checks to determine if any potential new hires had criminal records or other factors that would create a dangerous work environment.” </w:t>
      </w:r>
      <w:r w:rsidRPr="00B003FE">
        <w:rPr>
          <w:b/>
          <w:sz w:val="28"/>
          <w:u w:val="single"/>
        </w:rPr>
        <w:t>The Recruiting Division</w:t>
      </w:r>
      <w:r w:rsidRPr="00B003FE">
        <w:rPr>
          <w:b/>
          <w:spacing w:val="-10"/>
          <w:sz w:val="28"/>
          <w:u w:val="single"/>
        </w:rPr>
        <w:t xml:space="preserve"> </w:t>
      </w:r>
      <w:r w:rsidRPr="00B003FE">
        <w:rPr>
          <w:b/>
          <w:sz w:val="28"/>
        </w:rPr>
        <w:t>2013</w:t>
      </w:r>
    </w:p>
    <w:p w:rsidR="0031076A" w:rsidRPr="00B003FE" w:rsidRDefault="0031076A">
      <w:pPr>
        <w:pStyle w:val="BodyText"/>
        <w:rPr>
          <w:b/>
          <w:sz w:val="20"/>
        </w:rPr>
      </w:pPr>
    </w:p>
    <w:p w:rsidR="0031076A" w:rsidRDefault="0031076A">
      <w:pPr>
        <w:pStyle w:val="BodyText"/>
        <w:spacing w:before="9"/>
        <w:rPr>
          <w:sz w:val="20"/>
        </w:rPr>
      </w:pPr>
    </w:p>
    <w:p w:rsidR="0031076A" w:rsidRDefault="00935374">
      <w:pPr>
        <w:pStyle w:val="BodyText"/>
        <w:spacing w:before="77" w:line="480" w:lineRule="auto"/>
        <w:ind w:left="100" w:right="436"/>
      </w:pPr>
      <w:r>
        <w:t xml:space="preserve">The assumption that a criminal record signals danger or other undesirable characteristics is widespread, and guides the hiring behavior of many U.S. employers. More than 70 percent of businesses conduct background checks (SHRM 2012) and the </w:t>
      </w:r>
      <w:proofErr w:type="gramStart"/>
      <w:r>
        <w:t>majority report</w:t>
      </w:r>
      <w:proofErr w:type="gramEnd"/>
      <w:r>
        <w:t xml:space="preserve"> that they would be unwilling to hire an individual convicted of a serious criminal offense (</w:t>
      </w:r>
      <w:proofErr w:type="spellStart"/>
      <w:r>
        <w:t>Holzer</w:t>
      </w:r>
      <w:proofErr w:type="spellEnd"/>
      <w:r>
        <w:t xml:space="preserve"> et al. 2004).</w:t>
      </w:r>
    </w:p>
    <w:p w:rsidR="0031076A" w:rsidRPr="00B003FE" w:rsidRDefault="00935374" w:rsidP="00B003FE">
      <w:pPr>
        <w:pStyle w:val="BodyText"/>
        <w:spacing w:line="480" w:lineRule="auto"/>
        <w:ind w:left="100" w:right="84"/>
        <w:rPr>
          <w:b/>
        </w:rPr>
      </w:pPr>
      <w:r>
        <w:t>Employers report concerns over violence and theft in the workplace, as well as more generalized concerns over ex-offenders lacking oral character, work ethic, ability or some combination thereof (</w:t>
      </w:r>
      <w:proofErr w:type="spellStart"/>
      <w:r>
        <w:t>Holzer</w:t>
      </w:r>
      <w:proofErr w:type="spellEnd"/>
      <w:r>
        <w:t xml:space="preserve"> 1999; Pager 2007). At the same time, we know that the vast majority of individuals who commit crimes desist in the transition to adulthood (</w:t>
      </w:r>
      <w:proofErr w:type="spellStart"/>
      <w:r>
        <w:t>Hirshi</w:t>
      </w:r>
      <w:proofErr w:type="spellEnd"/>
      <w:r>
        <w:t xml:space="preserve"> &amp; </w:t>
      </w:r>
      <w:proofErr w:type="spellStart"/>
      <w:r>
        <w:t>Gottfredson</w:t>
      </w:r>
      <w:proofErr w:type="spellEnd"/>
      <w:r>
        <w:t xml:space="preserve"> 1983), with employment itself playing an important role in this transition (</w:t>
      </w:r>
      <w:proofErr w:type="spellStart"/>
      <w:r>
        <w:t>Uggen</w:t>
      </w:r>
      <w:proofErr w:type="spellEnd"/>
      <w:r>
        <w:t xml:space="preserve"> 2000; Sampson &amp; </w:t>
      </w:r>
      <w:proofErr w:type="spellStart"/>
      <w:r>
        <w:t>Laub</w:t>
      </w:r>
      <w:proofErr w:type="spellEnd"/>
      <w:r>
        <w:t xml:space="preserve">, 1993). How, then, should we think about the prospects of ex-offenders in the workplace? Is the widespread aversion to hiring ex-offenders warranted or a self-fulfilling prophesy? </w:t>
      </w:r>
      <w:r w:rsidRPr="00B003FE">
        <w:rPr>
          <w:b/>
        </w:rPr>
        <w:t xml:space="preserve">Unfortunately, virtually no empirical evidence exists with which to assess the workplace risk or potential of individuals with criminal records, leaving these debates largely theoretical. Reports of workplace violence, </w:t>
      </w:r>
      <w:r w:rsidRPr="00B003FE">
        <w:rPr>
          <w:b/>
        </w:rPr>
        <w:lastRenderedPageBreak/>
        <w:t>while provocative,</w:t>
      </w:r>
      <w:r w:rsidR="00B003FE">
        <w:rPr>
          <w:b/>
        </w:rPr>
        <w:t xml:space="preserve"> </w:t>
      </w:r>
      <w:r w:rsidRPr="00B003FE">
        <w:rPr>
          <w:b/>
        </w:rPr>
        <w:t>rarely indicate a perpetrator’s criminal background; and few workplaces track the performance of employees with criminal records.</w:t>
      </w:r>
    </w:p>
    <w:p w:rsidR="0031076A" w:rsidRDefault="00935374">
      <w:pPr>
        <w:pStyle w:val="BodyText"/>
        <w:spacing w:line="477" w:lineRule="auto"/>
        <w:ind w:left="120" w:right="98" w:firstLine="719"/>
        <w:rPr>
          <w:sz w:val="14"/>
        </w:rPr>
      </w:pPr>
      <w:r>
        <w:t>Meanwhile, a little known initiative has been operating in the U.S. military, which regularly recruits and hires individuals with felony-level criminal records to serve in the armed forces. With appropriate adjustments, this program presents a compelling test case to understand ex-offenders’ work performance when they are given a reprieve to enter a workplace, in this case America’s largest employer.</w:t>
      </w:r>
      <w:r>
        <w:rPr>
          <w:position w:val="10"/>
          <w:sz w:val="14"/>
        </w:rPr>
        <w:t>1</w:t>
      </w:r>
    </w:p>
    <w:p w:rsidR="0031076A" w:rsidRPr="00E06E97" w:rsidRDefault="00935374">
      <w:pPr>
        <w:pStyle w:val="BodyText"/>
        <w:spacing w:line="480" w:lineRule="auto"/>
        <w:ind w:left="120" w:right="104" w:firstLine="719"/>
        <w:rPr>
          <w:b/>
        </w:rPr>
      </w:pPr>
      <w:r w:rsidRPr="00E06E97">
        <w:rPr>
          <w:b/>
        </w:rPr>
        <w:t>This paper represents one of the first efforts to provide a systematic evaluation of ex- offenders in the workplace. Using original data assembled from military administrative records, we follow 1.3 million ex-offender and non-offender enlistees who enlisted during the period 2002- 2009. We find that individuals who have been arrested for felony-level offenses have similar attrition rates to those with no criminal record. They are no more likely to be discharged for the negative reasons employers often assume (such as misconduct or poor work performance). In fact, the only cause of abbreviated service that appears to differ for those with and without serious criminal records is a higher rate of death in the course of service observed among our sample members with criminal records. Finally, contrary to what might be expected, we find that individuals with felony-level criminal backgrounds are promoted more quickly and to higher ranks than other enlistees. We conclude that the military’s criminal waiver process holds promise for the civilian sector, showing that proper screening can result in success to the mutual benefit of employers and individuals with criminal histories.</w:t>
      </w:r>
      <w:r w:rsidR="00E06E97">
        <w:rPr>
          <w:b/>
        </w:rPr>
        <w:t xml:space="preserve"> (Article incorrectly assumes equal comparison between the military and public/private companies. This is absurd.) </w:t>
      </w:r>
    </w:p>
    <w:p w:rsidR="0031076A" w:rsidRDefault="0031076A">
      <w:pPr>
        <w:pStyle w:val="BodyText"/>
        <w:rPr>
          <w:sz w:val="20"/>
        </w:rPr>
      </w:pPr>
    </w:p>
    <w:p w:rsidR="0031076A" w:rsidRDefault="0031076A">
      <w:pPr>
        <w:pStyle w:val="BodyText"/>
        <w:rPr>
          <w:sz w:val="20"/>
        </w:rPr>
      </w:pPr>
    </w:p>
    <w:p w:rsidR="0031076A" w:rsidRDefault="00E0098D">
      <w:pPr>
        <w:pStyle w:val="BodyText"/>
        <w:rPr>
          <w:sz w:val="19"/>
        </w:rPr>
      </w:pPr>
      <w:r>
        <w:rPr>
          <w:noProof/>
        </w:rPr>
        <mc:AlternateContent>
          <mc:Choice Requires="wps">
            <w:drawing>
              <wp:anchor distT="0" distB="0" distL="0" distR="0" simplePos="0" relativeHeight="251651584" behindDoc="0" locked="0" layoutInCell="1" allowOverlap="1">
                <wp:simplePos x="0" y="0"/>
                <wp:positionH relativeFrom="page">
                  <wp:posOffset>914400</wp:posOffset>
                </wp:positionH>
                <wp:positionV relativeFrom="paragraph">
                  <wp:posOffset>165735</wp:posOffset>
                </wp:positionV>
                <wp:extent cx="1829435" cy="0"/>
                <wp:effectExtent l="9525" t="13335" r="8890" b="5715"/>
                <wp:wrapTopAndBottom/>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05pt" to="216.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nc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" strokeweight=".72pt">
                <w10:wrap type="topAndBottom" anchorx="page"/>
              </v:line>
            </w:pict>
          </mc:Fallback>
        </mc:AlternateContent>
      </w:r>
    </w:p>
    <w:p w:rsidR="0031076A" w:rsidRDefault="00935374">
      <w:pPr>
        <w:spacing w:before="47" w:line="247" w:lineRule="auto"/>
        <w:ind w:left="120" w:right="426"/>
        <w:rPr>
          <w:sz w:val="20"/>
        </w:rPr>
      </w:pPr>
      <w:r>
        <w:rPr>
          <w:rFonts w:ascii="Calibri" w:hAnsi="Calibri"/>
          <w:position w:val="10"/>
          <w:sz w:val="14"/>
        </w:rPr>
        <w:t xml:space="preserve">1 </w:t>
      </w:r>
      <w:r>
        <w:rPr>
          <w:sz w:val="20"/>
        </w:rPr>
        <w:t xml:space="preserve">There </w:t>
      </w:r>
      <w:proofErr w:type="gramStart"/>
      <w:r>
        <w:rPr>
          <w:sz w:val="20"/>
        </w:rPr>
        <w:t>are</w:t>
      </w:r>
      <w:proofErr w:type="gramEnd"/>
      <w:r>
        <w:rPr>
          <w:sz w:val="20"/>
        </w:rPr>
        <w:t xml:space="preserve"> roughly 1.4 million active duty personnel in the U.S. military (see Wikipedia 2016). For comparison, Walmart, America’s largest civilian </w:t>
      </w:r>
      <w:proofErr w:type="gramStart"/>
      <w:r>
        <w:rPr>
          <w:sz w:val="20"/>
        </w:rPr>
        <w:t>employer,</w:t>
      </w:r>
      <w:proofErr w:type="gramEnd"/>
      <w:r>
        <w:rPr>
          <w:sz w:val="20"/>
        </w:rPr>
        <w:t xml:space="preserve"> has roughly 1.3 million workers in the United States (see Hess 2013).</w:t>
      </w:r>
    </w:p>
    <w:p w:rsidR="0031076A" w:rsidRDefault="0031076A">
      <w:pPr>
        <w:spacing w:line="247" w:lineRule="auto"/>
        <w:rPr>
          <w:sz w:val="20"/>
        </w:rPr>
        <w:sectPr w:rsidR="0031076A">
          <w:pgSz w:w="12240" w:h="15840"/>
          <w:pgMar w:top="1500" w:right="1360" w:bottom="280" w:left="1320" w:header="720" w:footer="720" w:gutter="0"/>
          <w:cols w:space="720"/>
        </w:sectPr>
      </w:pPr>
    </w:p>
    <w:p w:rsidR="0031076A" w:rsidRDefault="0031076A">
      <w:pPr>
        <w:pStyle w:val="BodyText"/>
        <w:spacing w:before="8"/>
        <w:rPr>
          <w:sz w:val="11"/>
        </w:rPr>
      </w:pPr>
    </w:p>
    <w:p w:rsidR="0031076A" w:rsidRDefault="00935374">
      <w:pPr>
        <w:pStyle w:val="Heading2"/>
        <w:spacing w:before="77"/>
        <w:ind w:left="100" w:right="206"/>
        <w:rPr>
          <w:rFonts w:ascii="Garamond"/>
        </w:rPr>
      </w:pPr>
      <w:r>
        <w:rPr>
          <w:rFonts w:ascii="Garamond"/>
        </w:rPr>
        <w:t>BACKGROUND</w:t>
      </w:r>
    </w:p>
    <w:p w:rsidR="0031076A" w:rsidRDefault="0031076A">
      <w:pPr>
        <w:pStyle w:val="BodyText"/>
        <w:spacing w:before="2"/>
        <w:rPr>
          <w:b/>
          <w:sz w:val="23"/>
        </w:rPr>
      </w:pPr>
    </w:p>
    <w:p w:rsidR="0031076A" w:rsidRDefault="00935374">
      <w:pPr>
        <w:ind w:left="100" w:right="206"/>
        <w:rPr>
          <w:b/>
          <w:sz w:val="25"/>
        </w:rPr>
      </w:pPr>
      <w:r>
        <w:rPr>
          <w:b/>
          <w:sz w:val="25"/>
        </w:rPr>
        <w:t>The Expansion of the Criminal Justice System and its Implications for Employment</w:t>
      </w:r>
    </w:p>
    <w:p w:rsidR="0031076A" w:rsidRDefault="0031076A">
      <w:pPr>
        <w:pStyle w:val="BodyText"/>
        <w:spacing w:before="8"/>
        <w:rPr>
          <w:b/>
          <w:sz w:val="23"/>
        </w:rPr>
      </w:pPr>
    </w:p>
    <w:p w:rsidR="0031076A" w:rsidRDefault="00935374">
      <w:pPr>
        <w:pStyle w:val="BodyText"/>
        <w:spacing w:line="480" w:lineRule="auto"/>
        <w:ind w:left="100" w:right="104"/>
      </w:pPr>
      <w:r>
        <w:t xml:space="preserve">The expansion of the criminal justice system in the United States is by now familiar to scholars, with dramatic increases in the use of policing, community corrections, and incarceration over the past four decades (NRC, 2014). </w:t>
      </w:r>
      <w:r w:rsidRPr="00EC35CF">
        <w:rPr>
          <w:b/>
        </w:rPr>
        <w:t>As a result, it is estimated that roughly 8 percent of the working age population now has a felony conviction and roughly 92 million Americans have some form of criminal record (Love, 2011).</w:t>
      </w:r>
      <w:r>
        <w:t xml:space="preserve"> The rapid expansion of the criminal justice system and the marked increase of job seekers with criminal pasts have important repercussions for the American labor market. </w:t>
      </w:r>
      <w:r w:rsidRPr="00EC35CF">
        <w:rPr>
          <w:b/>
        </w:rPr>
        <w:t>Former felons are barred from a variety of occupations in childcare, healthcare, banks, insurance and security fields, with the number of licensure restrictions increasing significantly since 1970 (Love et al. 2012).</w:t>
      </w:r>
      <w:r>
        <w:t xml:space="preserve"> </w:t>
      </w:r>
      <w:r w:rsidR="00EC35CF">
        <w:t>(</w:t>
      </w:r>
      <w:r w:rsidR="00EC35CF" w:rsidRPr="00EC35CF">
        <w:rPr>
          <w:b/>
        </w:rPr>
        <w:t>And rightly so</w:t>
      </w:r>
      <w:r w:rsidR="00EC35CF">
        <w:t xml:space="preserve">) </w:t>
      </w:r>
      <w:r>
        <w:t xml:space="preserve">Criminal arrest and conviction records have become increasingly easy for employers to access via </w:t>
      </w:r>
      <w:r w:rsidR="00EC35CF">
        <w:t xml:space="preserve">online repositories, and it is </w:t>
      </w:r>
      <w:r>
        <w:t>correspondingly commonplace for employers to require applicants to report their criminal histories and to undergo background checks (SEARCH 2005).</w:t>
      </w:r>
    </w:p>
    <w:p w:rsidR="0031076A" w:rsidRPr="00EC35CF" w:rsidRDefault="00EC35CF">
      <w:pPr>
        <w:pStyle w:val="BodyText"/>
        <w:ind w:left="820" w:right="206"/>
        <w:rPr>
          <w:b/>
        </w:rPr>
      </w:pPr>
      <w:r w:rsidRPr="00EC35CF">
        <w:rPr>
          <w:b/>
        </w:rPr>
        <w:t xml:space="preserve">(The study points out that) </w:t>
      </w:r>
      <w:r w:rsidR="00935374" w:rsidRPr="00EC35CF">
        <w:rPr>
          <w:b/>
        </w:rPr>
        <w:t>Perhaps not surprisingly, the rate of employment among ex-offenders is extremely low.</w:t>
      </w:r>
    </w:p>
    <w:p w:rsidR="0031076A" w:rsidRPr="00EC35CF" w:rsidRDefault="0031076A">
      <w:pPr>
        <w:pStyle w:val="BodyText"/>
        <w:rPr>
          <w:b/>
        </w:rPr>
      </w:pPr>
    </w:p>
    <w:p w:rsidR="0031076A" w:rsidRDefault="00935374">
      <w:pPr>
        <w:pStyle w:val="BodyText"/>
        <w:spacing w:line="480" w:lineRule="auto"/>
        <w:ind w:left="100" w:right="206"/>
      </w:pPr>
      <w:r>
        <w:t xml:space="preserve">Studies of ex-prisoner populations report that roughly half remain jobless up to a year after release from prison (Sabol 2007; </w:t>
      </w:r>
      <w:proofErr w:type="spellStart"/>
      <w:r>
        <w:t>Visher</w:t>
      </w:r>
      <w:proofErr w:type="spellEnd"/>
      <w:r>
        <w:t xml:space="preserve"> et al. 2001; </w:t>
      </w:r>
      <w:proofErr w:type="spellStart"/>
      <w:r>
        <w:t>Petersilia</w:t>
      </w:r>
      <w:proofErr w:type="spellEnd"/>
      <w:r>
        <w:t xml:space="preserve"> 2003). Likewise, general population panel studies find a strong negative association between the experience of incarceration and subsequent employment rates (Freeman 1992; Western 2006; </w:t>
      </w:r>
      <w:proofErr w:type="spellStart"/>
      <w:r>
        <w:t>Apel</w:t>
      </w:r>
      <w:proofErr w:type="spellEnd"/>
      <w:r>
        <w:t xml:space="preserve"> &amp; Sweeten 2010) and earnings (Western 2006; Pettit and Lyons 2007). Given the size of the ex-offender population, these patterns suggest troubling implications for aggregate patterns of joblessness and economic insecurity (Pettit &amp; Western, 2005).</w:t>
      </w:r>
    </w:p>
    <w:p w:rsidR="0031076A" w:rsidRDefault="0031076A">
      <w:pPr>
        <w:spacing w:line="480" w:lineRule="auto"/>
        <w:sectPr w:rsidR="0031076A">
          <w:pgSz w:w="12240" w:h="15840"/>
          <w:pgMar w:top="1500" w:right="1380" w:bottom="280" w:left="1340" w:header="720" w:footer="720" w:gutter="0"/>
          <w:cols w:space="720"/>
        </w:sectPr>
      </w:pPr>
    </w:p>
    <w:p w:rsidR="0031076A" w:rsidRDefault="0031076A">
      <w:pPr>
        <w:pStyle w:val="BodyText"/>
        <w:spacing w:before="8"/>
        <w:rPr>
          <w:sz w:val="11"/>
        </w:rPr>
      </w:pPr>
    </w:p>
    <w:p w:rsidR="0031076A" w:rsidRDefault="00935374">
      <w:pPr>
        <w:pStyle w:val="BodyText"/>
        <w:spacing w:before="77" w:line="480" w:lineRule="auto"/>
        <w:ind w:left="120" w:right="31" w:firstLine="719"/>
      </w:pPr>
      <w:r>
        <w:t>Much of the scholarship on the employment of ex-offenders has focused on the barriers that result from a criminal record, particularly those with felonies. Employers demonstrate a strong reluctance to consider applicants with criminal records (</w:t>
      </w:r>
      <w:proofErr w:type="spellStart"/>
      <w:r>
        <w:t>Holzer</w:t>
      </w:r>
      <w:proofErr w:type="spellEnd"/>
      <w:r>
        <w:t xml:space="preserve"> et al. 2004) and matched pair audit studies suggest that ex-offenders are roughly half as likely to receive a callback or job offer relative to equally qualified applicants with no criminal record (Pager 2003). These barriers pose concern in that they hinder the reentry process and make it more difficult for those with criminal pasts to move on to stable, productive lives. Research points to employment as one of the strongest predictors of desistance from crime (OPRE 2012; </w:t>
      </w:r>
      <w:proofErr w:type="spellStart"/>
      <w:r>
        <w:t>Uggen</w:t>
      </w:r>
      <w:proofErr w:type="spellEnd"/>
      <w:r>
        <w:t xml:space="preserve"> 2000). If employers are unwilling to hire ex-offenders, however, this critical pathway remains largely out of reach.</w:t>
      </w:r>
    </w:p>
    <w:p w:rsidR="0031076A" w:rsidRPr="00935374" w:rsidRDefault="00935374">
      <w:pPr>
        <w:pStyle w:val="BodyText"/>
        <w:ind w:left="840" w:right="31"/>
        <w:rPr>
          <w:b/>
        </w:rPr>
      </w:pPr>
      <w:r w:rsidRPr="00935374">
        <w:rPr>
          <w:b/>
        </w:rPr>
        <w:t>At the same time, employers may have good reason to avoid hiring those with criminal pasts.</w:t>
      </w:r>
    </w:p>
    <w:p w:rsidR="0031076A" w:rsidRPr="00935374" w:rsidRDefault="0031076A">
      <w:pPr>
        <w:pStyle w:val="BodyText"/>
        <w:rPr>
          <w:b/>
        </w:rPr>
      </w:pPr>
    </w:p>
    <w:p w:rsidR="0031076A" w:rsidRPr="00935374" w:rsidRDefault="00935374">
      <w:pPr>
        <w:pStyle w:val="BodyText"/>
        <w:spacing w:line="477" w:lineRule="auto"/>
        <w:ind w:left="120" w:right="131"/>
        <w:rPr>
          <w:b/>
        </w:rPr>
      </w:pPr>
      <w:r w:rsidRPr="00935374">
        <w:rPr>
          <w:b/>
        </w:rPr>
        <w:t>Many of the characteristics that lead to criminal justice involvement in the first place -- criminal activity, drug and alcohol addiction, mental health problems, disadvantaged background, and lack of human and cultural capital– may also make ex-offenders poor prospects for stable employment (</w:t>
      </w:r>
      <w:proofErr w:type="spellStart"/>
      <w:r w:rsidRPr="00935374">
        <w:rPr>
          <w:b/>
        </w:rPr>
        <w:t>Grogger</w:t>
      </w:r>
      <w:proofErr w:type="spellEnd"/>
      <w:r w:rsidRPr="00935374">
        <w:rPr>
          <w:b/>
        </w:rPr>
        <w:t xml:space="preserve"> 1995; Bureau of Justice Statistics, 2001). Each of these characteristics is arguably related to worker quality, and in some cases may be difficult to observe directly. Moreover, to the extent that the past is a strong predictor of the future, a criminal past conveys some information about the likelihood of future illegal or dangerous forms of behavior. Such behavior is of concern both for the immediate risks it poses for the workplace, as well as the possible legal liability employers may face as a result of “negligent hiring” laws (Leavitt 2001).</w:t>
      </w:r>
      <w:r w:rsidRPr="00935374">
        <w:rPr>
          <w:b/>
          <w:position w:val="10"/>
          <w:sz w:val="14"/>
        </w:rPr>
        <w:t xml:space="preserve">2 </w:t>
      </w:r>
      <w:r w:rsidRPr="00935374">
        <w:rPr>
          <w:b/>
        </w:rPr>
        <w:t>Employers thus have reason to be concerned about hiring ex-offenders.</w:t>
      </w:r>
      <w:r>
        <w:rPr>
          <w:b/>
        </w:rPr>
        <w:t xml:space="preserve"> (Another indication that the content of the article contradicts the headline) </w:t>
      </w:r>
    </w:p>
    <w:p w:rsidR="0031076A" w:rsidRDefault="0031076A">
      <w:pPr>
        <w:pStyle w:val="BodyText"/>
        <w:rPr>
          <w:sz w:val="20"/>
        </w:rPr>
      </w:pPr>
    </w:p>
    <w:p w:rsidR="0031076A" w:rsidRDefault="0031076A">
      <w:pPr>
        <w:pStyle w:val="BodyText"/>
        <w:rPr>
          <w:sz w:val="20"/>
        </w:rPr>
      </w:pPr>
    </w:p>
    <w:p w:rsidR="0031076A" w:rsidRDefault="00E0098D">
      <w:pPr>
        <w:pStyle w:val="BodyText"/>
        <w:spacing w:before="1"/>
        <w:rPr>
          <w:sz w:val="23"/>
        </w:rPr>
      </w:pPr>
      <w:r>
        <w:rPr>
          <w:noProof/>
        </w:rPr>
        <mc:AlternateContent>
          <mc:Choice Requires="wps">
            <w:drawing>
              <wp:anchor distT="0" distB="0" distL="0" distR="0" simplePos="0" relativeHeight="251652608" behindDoc="0" locked="0" layoutInCell="1" allowOverlap="1">
                <wp:simplePos x="0" y="0"/>
                <wp:positionH relativeFrom="page">
                  <wp:posOffset>914400</wp:posOffset>
                </wp:positionH>
                <wp:positionV relativeFrom="paragraph">
                  <wp:posOffset>194945</wp:posOffset>
                </wp:positionV>
                <wp:extent cx="1829435" cy="0"/>
                <wp:effectExtent l="9525" t="13970" r="8890" b="5080"/>
                <wp:wrapTopAndBottom/>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35pt" to="216.0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nm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" strokeweight=".72pt">
                <w10:wrap type="topAndBottom" anchorx="page"/>
              </v:line>
            </w:pict>
          </mc:Fallback>
        </mc:AlternateContent>
      </w:r>
    </w:p>
    <w:p w:rsidR="0031076A" w:rsidRDefault="00935374">
      <w:pPr>
        <w:spacing w:before="47" w:line="244" w:lineRule="auto"/>
        <w:ind w:left="120" w:right="31"/>
        <w:rPr>
          <w:sz w:val="20"/>
        </w:rPr>
      </w:pPr>
      <w:r>
        <w:rPr>
          <w:rFonts w:ascii="Calibri" w:hAnsi="Calibri"/>
          <w:position w:val="10"/>
          <w:sz w:val="14"/>
        </w:rPr>
        <w:t xml:space="preserve">2 </w:t>
      </w:r>
      <w:r>
        <w:rPr>
          <w:sz w:val="20"/>
        </w:rPr>
        <w:t>The legal precedent established under “negligent hiring laws” explicitly states that employers must demonstrate “reasonable care” in the selection of employees or else the employer may be held liable for acts of violence or loss of property caused by an employee against a customer or fellow employee (see Leavitt 2001).</w:t>
      </w:r>
    </w:p>
    <w:p w:rsidR="0031076A" w:rsidRDefault="0031076A">
      <w:pPr>
        <w:spacing w:line="244" w:lineRule="auto"/>
        <w:rPr>
          <w:sz w:val="20"/>
        </w:rPr>
        <w:sectPr w:rsidR="0031076A">
          <w:pgSz w:w="12240" w:h="15840"/>
          <w:pgMar w:top="1500" w:right="1340" w:bottom="280" w:left="1320" w:header="720" w:footer="720" w:gutter="0"/>
          <w:cols w:space="720"/>
        </w:sectPr>
      </w:pPr>
    </w:p>
    <w:p w:rsidR="0031076A" w:rsidRDefault="0031076A">
      <w:pPr>
        <w:pStyle w:val="BodyText"/>
        <w:spacing w:before="8"/>
        <w:rPr>
          <w:sz w:val="11"/>
        </w:rPr>
      </w:pPr>
    </w:p>
    <w:p w:rsidR="0031076A" w:rsidRPr="00935374" w:rsidRDefault="00935374">
      <w:pPr>
        <w:pStyle w:val="BodyText"/>
        <w:spacing w:before="77"/>
        <w:ind w:left="820" w:right="426"/>
        <w:rPr>
          <w:b/>
        </w:rPr>
      </w:pPr>
      <w:r w:rsidRPr="00935374">
        <w:rPr>
          <w:b/>
        </w:rPr>
        <w:t>To what extent are employers’ concerns about ex-offender behavior borne out?</w:t>
      </w:r>
    </w:p>
    <w:p w:rsidR="0031076A" w:rsidRPr="00935374" w:rsidRDefault="0031076A">
      <w:pPr>
        <w:pStyle w:val="BodyText"/>
        <w:rPr>
          <w:b/>
        </w:rPr>
      </w:pPr>
    </w:p>
    <w:p w:rsidR="0031076A" w:rsidRPr="00935374" w:rsidRDefault="00935374">
      <w:pPr>
        <w:pStyle w:val="BodyText"/>
        <w:spacing w:line="480" w:lineRule="auto"/>
        <w:ind w:left="100" w:right="98"/>
        <w:rPr>
          <w:b/>
        </w:rPr>
      </w:pPr>
      <w:r w:rsidRPr="00935374">
        <w:rPr>
          <w:b/>
        </w:rPr>
        <w:t>Unfortunately, we have no direct evidence with which to answer this question directly.</w:t>
      </w:r>
      <w:r>
        <w:rPr>
          <w:b/>
        </w:rPr>
        <w:t xml:space="preserve"> (They admit they have no evidence) </w:t>
      </w:r>
      <w:r>
        <w:t xml:space="preserve"> </w:t>
      </w:r>
      <w:r w:rsidRPr="00935374">
        <w:rPr>
          <w:b/>
        </w:rPr>
        <w:t xml:space="preserve">At the same time, we do know something about the risks of future offending more generally. For example, the number and severity of the prior offenses shows a strong relationship with the likelihood of </w:t>
      </w:r>
      <w:proofErr w:type="spellStart"/>
      <w:r w:rsidRPr="00935374">
        <w:rPr>
          <w:b/>
        </w:rPr>
        <w:t>reoffense</w:t>
      </w:r>
      <w:proofErr w:type="spellEnd"/>
      <w:r w:rsidRPr="00935374">
        <w:rPr>
          <w:b/>
        </w:rPr>
        <w:t xml:space="preserve"> (Barnes and Hyatt 2012).</w:t>
      </w:r>
      <w:r>
        <w:t xml:space="preserve"> Beyond these fixed characteristics, many of the relevant risk factors vary with time and context</w:t>
      </w:r>
      <w:r w:rsidRPr="00935374">
        <w:rPr>
          <w:b/>
        </w:rPr>
        <w:t>. For example, the risk of recidivism falls steadily with time since arrest, with nearly 60% of recidivism occurring within the first year (Bureau of Justice Statistics, 2013).</w:t>
      </w:r>
      <w:r>
        <w:rPr>
          <w:b/>
        </w:rPr>
        <w:t xml:space="preserve"> (Support for going back 5 years instead of 7 Years which saves money to employers) </w:t>
      </w:r>
      <w:r>
        <w:t xml:space="preserve"> Over time, those with a prior arrest start to appear virtually indistinguishable from the general population in the chances of a subsequent offense (</w:t>
      </w:r>
      <w:proofErr w:type="spellStart"/>
      <w:r>
        <w:t>Kurlychek</w:t>
      </w:r>
      <w:proofErr w:type="spellEnd"/>
      <w:r>
        <w:t xml:space="preserve"> et al. 2006; Blumstein &amp; Nakamura 2009). Additional evidence suggests that this recidivism curve may be substantially reduced through employment. </w:t>
      </w:r>
      <w:r w:rsidRPr="00935374">
        <w:rPr>
          <w:b/>
        </w:rPr>
        <w:t xml:space="preserve">A randomized evaluation of a transitional jobs program in New York City found that those who started working within three months of release from prison were roughly 22% less likely to be convicted of a new crime within three years of release than those in the control group (OPRE 2012). Likewise, a randomized evaluation of a national jobs program found that, among those over age 26, assignment to low wage employment post-release reduced the risk of </w:t>
      </w:r>
      <w:proofErr w:type="spellStart"/>
      <w:r w:rsidRPr="00935374">
        <w:rPr>
          <w:b/>
        </w:rPr>
        <w:t>rearrest</w:t>
      </w:r>
      <w:proofErr w:type="spellEnd"/>
      <w:r w:rsidRPr="00935374">
        <w:rPr>
          <w:b/>
        </w:rPr>
        <w:t xml:space="preserve"> by 22% (</w:t>
      </w:r>
      <w:proofErr w:type="spellStart"/>
      <w:r w:rsidRPr="00935374">
        <w:rPr>
          <w:b/>
        </w:rPr>
        <w:t>Uggen</w:t>
      </w:r>
      <w:proofErr w:type="spellEnd"/>
      <w:r w:rsidRPr="00935374">
        <w:rPr>
          <w:b/>
        </w:rPr>
        <w:t xml:space="preserve"> 2000). Thus, the predictive value of a criminal record is heavily influenced by contextual factors such as age, time since offense, and intervening work experience.</w:t>
      </w:r>
    </w:p>
    <w:p w:rsidR="0031076A" w:rsidRDefault="00935374">
      <w:pPr>
        <w:pStyle w:val="BodyText"/>
        <w:spacing w:line="480" w:lineRule="auto"/>
        <w:ind w:left="100" w:right="98" w:firstLine="719"/>
      </w:pPr>
      <w:r>
        <w:t>Reflecting these complexities, the Equal Employment Opportunity Commission issued new guidelines in 2012 proscribing hiring policies that categorically ban applicants with arrest or conviction records (EEOC 2012). Instead, the commission directs employers to consider factors such as time elapsed since the offense, evidence of rehabilitation, and the relationship between the crime and job in question, in order to offer a case-by-case assessment as to whether a given criminal record is relevant.</w:t>
      </w:r>
    </w:p>
    <w:p w:rsidR="0031076A" w:rsidRDefault="0031076A">
      <w:pPr>
        <w:spacing w:line="480" w:lineRule="auto"/>
        <w:sectPr w:rsidR="0031076A">
          <w:pgSz w:w="12240" w:h="15840"/>
          <w:pgMar w:top="1500" w:right="1340" w:bottom="280" w:left="1340" w:header="720" w:footer="720" w:gutter="0"/>
          <w:cols w:space="720"/>
        </w:sectPr>
      </w:pPr>
    </w:p>
    <w:p w:rsidR="0031076A" w:rsidRDefault="0031076A">
      <w:pPr>
        <w:pStyle w:val="BodyText"/>
        <w:spacing w:before="8"/>
        <w:rPr>
          <w:sz w:val="11"/>
        </w:rPr>
      </w:pPr>
    </w:p>
    <w:p w:rsidR="0031076A" w:rsidRPr="00935374" w:rsidRDefault="00935374">
      <w:pPr>
        <w:pStyle w:val="BodyText"/>
        <w:spacing w:before="77" w:line="480" w:lineRule="auto"/>
        <w:ind w:left="120" w:right="106" w:firstLine="719"/>
        <w:rPr>
          <w:b/>
        </w:rPr>
      </w:pPr>
      <w:r>
        <w:t xml:space="preserve">Can such a review process effectively account for employers’ concerns about hiring ex- offenders? </w:t>
      </w:r>
      <w:r w:rsidRPr="00935374">
        <w:rPr>
          <w:b/>
        </w:rPr>
        <w:t>Unfortunately, there is very little direct evidence with which to evaluate how ex-offenders fare in the workplace, with or without extensive screening. No existing study has followed individuals with criminal records into the workplace to assess their performance or rates of misconduct. Our research offers among the first available evidence with which to evaluate this question, using the military context as a compelling case study.</w:t>
      </w:r>
      <w:r>
        <w:rPr>
          <w:b/>
        </w:rPr>
        <w:t xml:space="preserve"> </w:t>
      </w:r>
      <w:proofErr w:type="gramStart"/>
      <w:r>
        <w:rPr>
          <w:b/>
        </w:rPr>
        <w:t>( Their</w:t>
      </w:r>
      <w:proofErr w:type="gramEnd"/>
      <w:r>
        <w:rPr>
          <w:b/>
        </w:rPr>
        <w:t xml:space="preserve"> research is the first attempt, they say) (But comparing to the military is hardly an </w:t>
      </w:r>
      <w:proofErr w:type="gramStart"/>
      <w:r>
        <w:rPr>
          <w:b/>
        </w:rPr>
        <w:t>apples</w:t>
      </w:r>
      <w:proofErr w:type="gramEnd"/>
      <w:r>
        <w:rPr>
          <w:b/>
        </w:rPr>
        <w:t xml:space="preserve"> to oranges comparison!!) </w:t>
      </w:r>
    </w:p>
    <w:p w:rsidR="0031076A" w:rsidRDefault="00935374">
      <w:pPr>
        <w:pStyle w:val="Heading1"/>
        <w:spacing w:line="273" w:lineRule="exact"/>
        <w:ind w:left="120" w:right="31" w:firstLine="0"/>
      </w:pPr>
      <w:r>
        <w:rPr>
          <w:w w:val="95"/>
        </w:rPr>
        <w:t>Prison-Military Linkage</w:t>
      </w:r>
    </w:p>
    <w:p w:rsidR="0031076A" w:rsidRDefault="0031076A">
      <w:pPr>
        <w:pStyle w:val="BodyText"/>
        <w:spacing w:before="8"/>
        <w:rPr>
          <w:b/>
          <w:sz w:val="23"/>
        </w:rPr>
      </w:pPr>
    </w:p>
    <w:p w:rsidR="0031076A" w:rsidRDefault="00935374">
      <w:pPr>
        <w:pStyle w:val="BodyText"/>
        <w:spacing w:line="480" w:lineRule="auto"/>
        <w:ind w:left="120" w:right="131" w:firstLine="719"/>
      </w:pPr>
      <w:r>
        <w:t>While representing highly distinct arms of the state, the military and the criminal justice system have enjoyed an important and long-standing association. Part of this association is reflected in the popular assumption that militaristic discipline will set delinquent youth on the right path, as embodied by the militaristic structures of many programs and schools for juvenile delinquents.</w:t>
      </w:r>
    </w:p>
    <w:p w:rsidR="0031076A" w:rsidRDefault="00935374">
      <w:pPr>
        <w:pStyle w:val="BodyText"/>
        <w:spacing w:line="480" w:lineRule="auto"/>
        <w:ind w:left="120" w:right="173"/>
      </w:pPr>
      <w:r>
        <w:t xml:space="preserve">During World War II, judges often ordered criminals to military service as an alternative to trial or prison (Shattuck 1945; </w:t>
      </w:r>
      <w:proofErr w:type="spellStart"/>
      <w:r>
        <w:t>Mattick</w:t>
      </w:r>
      <w:proofErr w:type="spellEnd"/>
      <w:r>
        <w:t xml:space="preserve"> 1954). And a number of studies have, in fact, found some desistance effect of military service for criminal delinquents who joined the military during the Vietnam, Korean War and WWII eras (</w:t>
      </w:r>
      <w:proofErr w:type="spellStart"/>
      <w:r>
        <w:t>Bouffard</w:t>
      </w:r>
      <w:proofErr w:type="spellEnd"/>
      <w:r>
        <w:t xml:space="preserve"> and </w:t>
      </w:r>
      <w:proofErr w:type="spellStart"/>
      <w:r>
        <w:t>Laub</w:t>
      </w:r>
      <w:proofErr w:type="spellEnd"/>
      <w:r>
        <w:t xml:space="preserve"> 2004; Sampson and </w:t>
      </w:r>
      <w:proofErr w:type="spellStart"/>
      <w:r>
        <w:t>Laub</w:t>
      </w:r>
      <w:proofErr w:type="spellEnd"/>
      <w:r>
        <w:t xml:space="preserve"> 1995).</w:t>
      </w:r>
    </w:p>
    <w:p w:rsidR="0031076A" w:rsidRDefault="00935374">
      <w:pPr>
        <w:pStyle w:val="BodyText"/>
        <w:spacing w:line="480" w:lineRule="auto"/>
        <w:ind w:left="120" w:right="352" w:firstLine="719"/>
      </w:pPr>
      <w:r>
        <w:t>Today offenders are rarely sent to the military for reasons of punishment or rehabilitation. But the ties between criminal justice and military institutions remain important. According to the</w:t>
      </w:r>
    </w:p>
    <w:p w:rsidR="0031076A" w:rsidRDefault="00935374">
      <w:pPr>
        <w:pStyle w:val="BodyText"/>
        <w:spacing w:line="475" w:lineRule="auto"/>
        <w:ind w:left="120" w:right="131"/>
      </w:pPr>
      <w:proofErr w:type="gramStart"/>
      <w:r>
        <w:t>U.S. federal legal code (10 U.S.C.</w:t>
      </w:r>
      <w:proofErr w:type="gramEnd"/>
      <w:r>
        <w:t xml:space="preserve">  504), individuals convicted of a felony may not enlist in any branch of the military. However, exceptions may be made by the military through the issuance of “moral character waivers.” A waiver approval is required of military recruits if they have a history of misconduct</w:t>
      </w:r>
      <w:r>
        <w:rPr>
          <w:position w:val="10"/>
          <w:sz w:val="14"/>
        </w:rPr>
        <w:t xml:space="preserve">3 </w:t>
      </w:r>
      <w:r>
        <w:t>including, at the extreme, a conviction or other adverse adjudication of either a single</w:t>
      </w:r>
    </w:p>
    <w:p w:rsidR="0031076A" w:rsidRDefault="00E0098D">
      <w:pPr>
        <w:pStyle w:val="BodyText"/>
        <w:spacing w:before="1"/>
        <w:rPr>
          <w:sz w:val="14"/>
        </w:rPr>
      </w:pPr>
      <w:r>
        <w:rPr>
          <w:noProof/>
        </w:rPr>
        <mc:AlternateContent>
          <mc:Choice Requires="wps">
            <w:drawing>
              <wp:anchor distT="0" distB="0" distL="0" distR="0" simplePos="0" relativeHeight="251653632" behindDoc="0" locked="0" layoutInCell="1" allowOverlap="1">
                <wp:simplePos x="0" y="0"/>
                <wp:positionH relativeFrom="page">
                  <wp:posOffset>914400</wp:posOffset>
                </wp:positionH>
                <wp:positionV relativeFrom="paragraph">
                  <wp:posOffset>130810</wp:posOffset>
                </wp:positionV>
                <wp:extent cx="1829435" cy="0"/>
                <wp:effectExtent l="9525" t="6985" r="8890" b="12065"/>
                <wp:wrapTopAndBottom/>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3pt" to="216.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3v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" strokeweight=".72pt">
                <w10:wrap type="topAndBottom" anchorx="page"/>
              </v:line>
            </w:pict>
          </mc:Fallback>
        </mc:AlternateContent>
      </w:r>
    </w:p>
    <w:p w:rsidR="0031076A" w:rsidRDefault="00935374">
      <w:pPr>
        <w:spacing w:before="47" w:line="244" w:lineRule="auto"/>
        <w:ind w:left="120" w:right="131"/>
        <w:rPr>
          <w:sz w:val="20"/>
        </w:rPr>
      </w:pPr>
      <w:r>
        <w:rPr>
          <w:rFonts w:ascii="Calibri"/>
          <w:position w:val="10"/>
          <w:sz w:val="14"/>
        </w:rPr>
        <w:t xml:space="preserve">3 </w:t>
      </w:r>
      <w:r>
        <w:rPr>
          <w:sz w:val="20"/>
        </w:rPr>
        <w:t>We focus only on criminal offenses, but most conduct-related waivers in the military are granted for lower order forms of misconduct, such as multiple traffic violations, disorderly conduct or vandalism, self-disclosed admission of drug or alcohol addiction or testing positive for drugs or alcohol at the recruitment physical exam.</w:t>
      </w:r>
    </w:p>
    <w:p w:rsidR="0031076A" w:rsidRDefault="0031076A">
      <w:pPr>
        <w:spacing w:line="244" w:lineRule="auto"/>
        <w:rPr>
          <w:sz w:val="20"/>
        </w:rPr>
        <w:sectPr w:rsidR="0031076A">
          <w:pgSz w:w="12240" w:h="15840"/>
          <w:pgMar w:top="1500" w:right="1340" w:bottom="280" w:left="1320" w:header="720" w:footer="720" w:gutter="0"/>
          <w:cols w:space="720"/>
        </w:sectPr>
      </w:pPr>
    </w:p>
    <w:p w:rsidR="0031076A" w:rsidRDefault="0031076A">
      <w:pPr>
        <w:pStyle w:val="BodyText"/>
        <w:spacing w:before="8"/>
        <w:rPr>
          <w:sz w:val="11"/>
        </w:rPr>
      </w:pPr>
    </w:p>
    <w:p w:rsidR="0031076A" w:rsidRDefault="00935374">
      <w:pPr>
        <w:pStyle w:val="BodyText"/>
        <w:spacing w:before="77" w:line="480" w:lineRule="auto"/>
        <w:ind w:left="100" w:right="93"/>
      </w:pPr>
      <w:proofErr w:type="gramStart"/>
      <w:r>
        <w:t>major</w:t>
      </w:r>
      <w:proofErr w:type="gramEnd"/>
      <w:r>
        <w:t xml:space="preserve"> misconduct offense (felonies such as murder, burglary, etc. but excluding illegal drug trafficking) or a certain number of minor misconduct offenses (misdemeanors ranging from DUIs to marijuana possession). We refer to these two waiver types as “felony waivers” and “misdemeanor waivers,” respectively. Waivers are especially prevalent when the supply of enlistees is low, such as during wartime and when the national economy is thriving. To illustrate, criminal waivers doubled during the height of the wars in Iraq and Afghanistan compared to the late-nineties, a peacetime era of economic </w:t>
      </w:r>
      <w:proofErr w:type="gramStart"/>
      <w:r>
        <w:t>expansion  (</w:t>
      </w:r>
      <w:proofErr w:type="spellStart"/>
      <w:proofErr w:type="gramEnd"/>
      <w:r>
        <w:t>Boucai</w:t>
      </w:r>
      <w:proofErr w:type="spellEnd"/>
      <w:r>
        <w:t xml:space="preserve"> 2007).</w:t>
      </w:r>
    </w:p>
    <w:p w:rsidR="0031076A" w:rsidRDefault="00935374">
      <w:pPr>
        <w:pStyle w:val="BodyText"/>
        <w:spacing w:line="480" w:lineRule="auto"/>
        <w:ind w:left="100" w:right="98" w:firstLine="719"/>
      </w:pPr>
      <w:r>
        <w:t xml:space="preserve">Our study examines what happens when the typical barriers facing ex-offenders in the labor market are reduced. How does the attrition and performance of those with felony-level criminal records compare to recruits with no reported criminal history?  In investigating this question, it is important to keep in mind that conduct waiver enlistees are not a random draw from the ex- offender population. Like most civilian employers, the military screens carefully on educational background and applicant skills. Specifically, the military typically requires a high school degree or equivalent and average scores on the Armed Forces Qualifying Exam (AFQT). In addition, when considering individuals for conduct waivers, the military conducts what is referred to as a “whole person” </w:t>
      </w:r>
      <w:proofErr w:type="gramStart"/>
      <w:r>
        <w:t>evaluation.</w:t>
      </w:r>
      <w:proofErr w:type="gramEnd"/>
      <w:r>
        <w:t xml:space="preserve"> This screening process takes into consideration the age at offense, the circumstances and severity of offense, the recruit’s qualifications, references, as well as a personal interview. Scrutiny is much greater the more serious the offense, with felony offenses requiring approval by the highest level of authority on the recruiting command. The whole person approach bears striking similarity to the guidelines recently established by the EEOC for civilian employers, as discussed above. Our analyses thus allow us to explore whether, given a careful screening process, individuals with criminal records perform similarly to their counterparts with no criminal history.</w:t>
      </w:r>
    </w:p>
    <w:p w:rsidR="0031076A" w:rsidRDefault="0031076A">
      <w:pPr>
        <w:spacing w:line="480" w:lineRule="auto"/>
        <w:sectPr w:rsidR="0031076A">
          <w:pgSz w:w="12240" w:h="15840"/>
          <w:pgMar w:top="1500" w:right="1400" w:bottom="280" w:left="1340" w:header="720" w:footer="720" w:gutter="0"/>
          <w:cols w:space="720"/>
        </w:sectPr>
      </w:pPr>
    </w:p>
    <w:p w:rsidR="0031076A" w:rsidRDefault="0031076A">
      <w:pPr>
        <w:pStyle w:val="BodyText"/>
        <w:spacing w:before="8"/>
        <w:rPr>
          <w:sz w:val="11"/>
        </w:rPr>
      </w:pPr>
    </w:p>
    <w:p w:rsidR="0031076A" w:rsidRDefault="00935374">
      <w:pPr>
        <w:pStyle w:val="BodyText"/>
        <w:spacing w:before="77" w:line="480" w:lineRule="auto"/>
        <w:ind w:left="100" w:right="148" w:firstLine="719"/>
      </w:pPr>
      <w:r>
        <w:t xml:space="preserve">As the largest employer in the United States, the military represents an important case study for broader labor market dynamics. Recent research looks to the military workforce as a prototype to analyze the performance of GED holders relative to high school dropouts and degree holders (Heckman et al. 2014, ch.6) and prior studies note the importance of military service in better understanding employment patterns in the civilian labor market (e.g., Mare &amp; </w:t>
      </w:r>
      <w:proofErr w:type="spellStart"/>
      <w:r>
        <w:t>Winship</w:t>
      </w:r>
      <w:proofErr w:type="spellEnd"/>
      <w:r>
        <w:t xml:space="preserve"> 1984). Given its large and diverse workforce, the military offers many opportunities to explore employment dynamics that generalize to the broader labor market.</w:t>
      </w:r>
    </w:p>
    <w:p w:rsidR="0031076A" w:rsidRDefault="00935374">
      <w:pPr>
        <w:pStyle w:val="BodyText"/>
        <w:spacing w:line="480" w:lineRule="auto"/>
        <w:ind w:left="100" w:right="116" w:firstLine="719"/>
      </w:pPr>
      <w:r w:rsidRPr="00935374">
        <w:rPr>
          <w:b/>
        </w:rPr>
        <w:t>At the same time, the military does exhibit key features that distinguish it from typical civilian employers. In particular, the military represents a highly structured environment in which enlistees both live and work. For the purposes of our study, this difference could influence our findings in potentially divergent ways</w:t>
      </w:r>
      <w:r>
        <w:t xml:space="preserve">. </w:t>
      </w:r>
      <w:r>
        <w:rPr>
          <w:b/>
        </w:rPr>
        <w:t>(</w:t>
      </w:r>
      <w:proofErr w:type="gramStart"/>
      <w:r>
        <w:rPr>
          <w:b/>
        </w:rPr>
        <w:t>they</w:t>
      </w:r>
      <w:proofErr w:type="gramEnd"/>
      <w:r>
        <w:rPr>
          <w:b/>
        </w:rPr>
        <w:t xml:space="preserve"> admit the comparison is not ideal) </w:t>
      </w:r>
      <w:r>
        <w:t xml:space="preserve"> On the one hand, ex-offenders may have less opportunity</w:t>
      </w:r>
      <w:r>
        <w:rPr>
          <w:spacing w:val="-37"/>
        </w:rPr>
        <w:t xml:space="preserve"> </w:t>
      </w:r>
      <w:r>
        <w:t>to reoffend in such an environment. Studies have shown a “knifing off” effect of military enlistment, where individuals are removed from negative pre-existing peer group influences (</w:t>
      </w:r>
      <w:proofErr w:type="spellStart"/>
      <w:r>
        <w:t>Laub</w:t>
      </w:r>
      <w:proofErr w:type="spellEnd"/>
      <w:r>
        <w:t xml:space="preserve"> and Sampson 2001). To the extent that the military service ethos emphasizes discipline, responsibility, and self- efficacy, the environment may also mitigate against </w:t>
      </w:r>
      <w:proofErr w:type="spellStart"/>
      <w:r>
        <w:t>reoffense</w:t>
      </w:r>
      <w:proofErr w:type="spellEnd"/>
      <w:r>
        <w:t>. On the other hand, the greater surveillance of military service may expose the recruit to more intense behavioral scrutiny, while also exacerbating any pre-existing tendency of resistance to authority. Furthermore, the stress of war deployment and separation from one’s family and community may exacerbate negative impulses. It is thus unclear whether the military represents a conservative or liberal test of the performance of individuals with criminal records. In either case, it represents an undeniably central component of the American labor market. And thanks to the military’s careful record keeping, we have an opportunity to systematically assess the relationship between criminal records and worker performance for among the first such evidence of its</w:t>
      </w:r>
      <w:r>
        <w:rPr>
          <w:spacing w:val="-19"/>
        </w:rPr>
        <w:t xml:space="preserve"> </w:t>
      </w:r>
      <w:r>
        <w:t>kind.</w:t>
      </w:r>
    </w:p>
    <w:p w:rsidR="0031076A" w:rsidRDefault="0031076A">
      <w:pPr>
        <w:spacing w:line="480" w:lineRule="auto"/>
        <w:sectPr w:rsidR="0031076A">
          <w:pgSz w:w="12240" w:h="15840"/>
          <w:pgMar w:top="1500" w:right="1360" w:bottom="280" w:left="1340" w:header="720" w:footer="720" w:gutter="0"/>
          <w:cols w:space="720"/>
        </w:sectPr>
      </w:pPr>
    </w:p>
    <w:p w:rsidR="0031076A" w:rsidRDefault="0031076A">
      <w:pPr>
        <w:pStyle w:val="BodyText"/>
        <w:spacing w:before="8"/>
        <w:rPr>
          <w:sz w:val="11"/>
        </w:rPr>
      </w:pPr>
    </w:p>
    <w:p w:rsidR="0031076A" w:rsidRDefault="00935374">
      <w:pPr>
        <w:pStyle w:val="BodyText"/>
        <w:spacing w:before="77" w:line="480" w:lineRule="auto"/>
        <w:ind w:left="100" w:right="114" w:firstLine="719"/>
      </w:pPr>
      <w:r>
        <w:t xml:space="preserve">Although the waiver program is not widely known to either the public or to scholars, the </w:t>
      </w:r>
      <w:proofErr w:type="gramStart"/>
      <w:r>
        <w:t>DoD</w:t>
      </w:r>
      <w:proofErr w:type="gramEnd"/>
      <w:r>
        <w:t xml:space="preserve"> has a keen interest in each of its waiver programs and their success. Waiver programs enable the military to be flexible in response to the changing labor market and recruitment pool, allowing leeway in recruiting individuals who would normally be ineligible to serve in poor recruitment climates. Recruiting and employing individuals with criminal conduct waivers is also a cost-savings because the recruiter has fewer civilian opportunities against which to compete. Still, it is a costly investment to recruit and train any service personnel, and so the military has a vested interest in recruiting individuals who will serve out their full contracts. As potentially high-risk hires, the trajectory of individuals with conduct waivers of any kind has been subject to examination by the </w:t>
      </w:r>
      <w:proofErr w:type="gramStart"/>
      <w:r>
        <w:t>DoD</w:t>
      </w:r>
      <w:proofErr w:type="gramEnd"/>
      <w:r>
        <w:t xml:space="preserve"> (contrary to the belief highlighted in the first introductory quote). A number of military reports and unpublished theses from military service academies have examined the program with the aim of assessing whether waivers (drug, health, conduct, etc.) should remain a military policy. The goals of these reports and theses differ from the goals of our paper; they are focused primarily on how the different waiver programs impact manpower effectiveness, readiness, and troop morale in the military. Nevertheless, these internal documents are instrumental in informing our study and helping to familiarize us with data that has never been publicly available to scholars. We briefly summarize relevant findings from existing internal documents as</w:t>
      </w:r>
      <w:r>
        <w:rPr>
          <w:spacing w:val="-31"/>
        </w:rPr>
        <w:t xml:space="preserve"> </w:t>
      </w:r>
      <w:r>
        <w:t>follows.</w:t>
      </w:r>
    </w:p>
    <w:p w:rsidR="0031076A" w:rsidRDefault="00935374">
      <w:pPr>
        <w:pStyle w:val="BodyText"/>
        <w:spacing w:line="480" w:lineRule="auto"/>
        <w:ind w:left="100" w:right="151" w:firstLine="719"/>
      </w:pPr>
      <w:r>
        <w:t xml:space="preserve">Evidence from unpublished </w:t>
      </w:r>
      <w:proofErr w:type="gramStart"/>
      <w:r>
        <w:t>DoD</w:t>
      </w:r>
      <w:proofErr w:type="gramEnd"/>
      <w:r>
        <w:t xml:space="preserve"> studies for the success of conduct waiver recruits is mixed. </w:t>
      </w:r>
      <w:proofErr w:type="gramStart"/>
      <w:r>
        <w:t>Most analyze first term attrition (also referred to as “early separation”), defined as failure to complete the initial contract period of a recruit.</w:t>
      </w:r>
      <w:proofErr w:type="gramEnd"/>
      <w:r>
        <w:t xml:space="preserve"> This is a widely used metric in the services to measure the investment pay off of an incoming cohort. An analysis by the U.S. General Accounting Office found no difference between first term attrition rates and reasons between standard recruits and those with conduct waivers (GAO 1999). A Navy study of first-term disciplinary problems also</w:t>
      </w:r>
    </w:p>
    <w:p w:rsidR="0031076A" w:rsidRDefault="0031076A">
      <w:pPr>
        <w:spacing w:line="480" w:lineRule="auto"/>
        <w:sectPr w:rsidR="0031076A">
          <w:pgSz w:w="12240" w:h="15840"/>
          <w:pgMar w:top="1500" w:right="1340" w:bottom="280" w:left="1340" w:header="720" w:footer="720" w:gutter="0"/>
          <w:cols w:space="720"/>
        </w:sectPr>
      </w:pPr>
    </w:p>
    <w:p w:rsidR="0031076A" w:rsidRDefault="0031076A">
      <w:pPr>
        <w:pStyle w:val="BodyText"/>
        <w:spacing w:before="8"/>
        <w:rPr>
          <w:sz w:val="11"/>
        </w:rPr>
      </w:pPr>
    </w:p>
    <w:p w:rsidR="0031076A" w:rsidRDefault="00935374">
      <w:pPr>
        <w:pStyle w:val="BodyText"/>
        <w:spacing w:before="77" w:line="480" w:lineRule="auto"/>
        <w:ind w:left="100" w:right="185"/>
      </w:pPr>
      <w:proofErr w:type="gramStart"/>
      <w:r>
        <w:t>found</w:t>
      </w:r>
      <w:proofErr w:type="gramEnd"/>
      <w:r>
        <w:t xml:space="preserve"> no difference between these two groups (Noble 2005). But a thesis examining the likelihood of attrition among conduct waivers in the Marines from 1997 to 2005 found that felony waivers were 17% more likely than non-waivers to separate from the military for unsuitability reasons (</w:t>
      </w:r>
      <w:proofErr w:type="spellStart"/>
      <w:r>
        <w:t>Jeppe</w:t>
      </w:r>
      <w:proofErr w:type="spellEnd"/>
      <w:r>
        <w:t xml:space="preserve"> 2008). Another thesis focusing on sailors joining the Navy in two different locations found that those with waivers (conduct and drug combined) were more likely to terminate before the end of their first contract (</w:t>
      </w:r>
      <w:proofErr w:type="spellStart"/>
      <w:r>
        <w:t>Huth</w:t>
      </w:r>
      <w:proofErr w:type="spellEnd"/>
      <w:r>
        <w:t xml:space="preserve"> 2007). Another study found conduct waiver status to be a minor predictor of attrition, but only for the Navy and the Marines, not for the Army or Air Force (Wenger and </w:t>
      </w:r>
      <w:proofErr w:type="spellStart"/>
      <w:r>
        <w:t>Hodari</w:t>
      </w:r>
      <w:proofErr w:type="spellEnd"/>
      <w:r>
        <w:t xml:space="preserve"> 2004). In an analysis of Army recruits from 2000-2005, a thesis found that those with waivers for criminal records were more likely than other recruits to terminate early, though significantly less so than non-high school diploma holders (</w:t>
      </w:r>
      <w:proofErr w:type="spellStart"/>
      <w:r>
        <w:t>Sahin</w:t>
      </w:r>
      <w:proofErr w:type="spellEnd"/>
      <w:r>
        <w:t xml:space="preserve"> and </w:t>
      </w:r>
      <w:proofErr w:type="spellStart"/>
      <w:r>
        <w:t>Ayhan</w:t>
      </w:r>
      <w:proofErr w:type="spellEnd"/>
      <w:r>
        <w:rPr>
          <w:spacing w:val="-31"/>
        </w:rPr>
        <w:t xml:space="preserve"> </w:t>
      </w:r>
      <w:r>
        <w:t>2009).</w:t>
      </w:r>
    </w:p>
    <w:p w:rsidR="0031076A" w:rsidRDefault="00935374">
      <w:pPr>
        <w:pStyle w:val="BodyText"/>
        <w:ind w:left="820" w:right="84"/>
      </w:pPr>
      <w:r>
        <w:t>In a 2008 congressional hearing, references are made to a number of unavailable reports that</w:t>
      </w:r>
    </w:p>
    <w:p w:rsidR="0031076A" w:rsidRDefault="0031076A">
      <w:pPr>
        <w:pStyle w:val="BodyText"/>
        <w:spacing w:before="1"/>
        <w:rPr>
          <w:sz w:val="17"/>
        </w:rPr>
      </w:pPr>
    </w:p>
    <w:p w:rsidR="0031076A" w:rsidRDefault="00935374">
      <w:pPr>
        <w:pStyle w:val="BodyText"/>
        <w:spacing w:before="77" w:line="480" w:lineRule="auto"/>
        <w:ind w:left="100" w:right="101"/>
      </w:pPr>
      <w:proofErr w:type="gramStart"/>
      <w:r>
        <w:t>indicate</w:t>
      </w:r>
      <w:proofErr w:type="gramEnd"/>
      <w:r>
        <w:t xml:space="preserve"> positive effects for conduct waivers in the Army (</w:t>
      </w:r>
      <w:r>
        <w:rPr>
          <w:shd w:val="clear" w:color="auto" w:fill="FFFF00"/>
        </w:rPr>
        <w:t>cite</w:t>
      </w:r>
      <w:r>
        <w:t>).  While analyses of all conduct waivers showed they were more likely to terminate early, when limited to felony waivers, there were no differences from enlistees without waivers. Furthermore, Army conduct waiver enlistees re- enlisted at higher rates, had a higher incidence of awards, and in one subsample of enlistees in a specific occupation (infantry), conduct waiver enlistees showed faster promotion rates. There is a single published study assessing the performance of recruits who enter with waivers (Malone 2014). The larger focus of this paper is the success of incoming recruits with any kind of waiver, including conduct waivers. The paper focuses on each military branch separately and evaluates both first-term attrition and promotion rates. It finds evidence for lower first-term attrition rates for felony and misdemeanor conduct waiver recruits within all military branches, although the overall effects are small in magnitude. The analysis finds more variation across branch for promotion rates. In the Army and Marines conduct waivers with felony backgrounds are promoted faster. Conduct waivers</w:t>
      </w:r>
    </w:p>
    <w:p w:rsidR="0031076A" w:rsidRDefault="0031076A">
      <w:pPr>
        <w:spacing w:line="480" w:lineRule="auto"/>
        <w:sectPr w:rsidR="0031076A">
          <w:pgSz w:w="12240" w:h="15840"/>
          <w:pgMar w:top="1500" w:right="1360" w:bottom="280" w:left="1340" w:header="720" w:footer="720" w:gutter="0"/>
          <w:cols w:space="720"/>
        </w:sectPr>
      </w:pPr>
    </w:p>
    <w:p w:rsidR="0031076A" w:rsidRDefault="0031076A">
      <w:pPr>
        <w:pStyle w:val="BodyText"/>
        <w:spacing w:before="8"/>
        <w:rPr>
          <w:sz w:val="11"/>
        </w:rPr>
      </w:pPr>
    </w:p>
    <w:p w:rsidR="0031076A" w:rsidRDefault="00935374">
      <w:pPr>
        <w:pStyle w:val="BodyText"/>
        <w:spacing w:before="77" w:line="480" w:lineRule="auto"/>
        <w:ind w:left="100" w:right="174"/>
      </w:pPr>
      <w:proofErr w:type="gramStart"/>
      <w:r>
        <w:t>with</w:t>
      </w:r>
      <w:proofErr w:type="gramEnd"/>
      <w:r>
        <w:t xml:space="preserve"> misdemeanors also get promoted faster in the Army and in the Navy. The only negative promotion rates found are those for Air Force misdemeanor waivers. The Malone (2014) paper takes an important step forward in publishing this important data. We build on this work by examining a broader sample over a more recent time period. We focus specifically on the question of felony offenses, examining the reasons behind attrition rates and we utilize alternative promotion measures.</w:t>
      </w:r>
    </w:p>
    <w:p w:rsidR="0031076A" w:rsidRDefault="00935374">
      <w:pPr>
        <w:pStyle w:val="BodyText"/>
        <w:spacing w:line="480" w:lineRule="auto"/>
        <w:ind w:left="100" w:right="100" w:firstLine="719"/>
      </w:pPr>
      <w:r>
        <w:t>The existing research provides a strong starting point for understanding the performance of those with waivers for past misconduct in the military. Given that our interest extends beyond military service, however, we seek to build on this research in several important ways. First, in many of the existing studies, early termination is used as the key outcome variable, with little attention to specific causes of attrition. As we show below, the causes of early termination can vary quite substantially-- from misconduct and poor performance, to health problems, to death --with important implications for assessments of suitability for service (and other forms of employment). Second, in addition to examining attrition and its causes, we examine pace and level of promotion through the ranks, which provides a longer-term and more holistic perspective on career success than most of the existing thesis studies. Finally, the majority of existing research was conducted prior to the rapid escalation in use of conduct waivers associated with recent large-scale deployments in Iraq and Afghanistan. Relying on more recent data offers the opportunity to observe how individuals with criminal records fare when the standards are relaxed to allow higher rates of participation. Together, these findings have important implications for understanding the prospects for ex-offender employment in the broader labor market, where the issue of ex-offender employment has become a significant cause for</w:t>
      </w:r>
      <w:r>
        <w:rPr>
          <w:spacing w:val="-19"/>
        </w:rPr>
        <w:t xml:space="preserve"> </w:t>
      </w:r>
      <w:r>
        <w:t>concern.</w:t>
      </w:r>
    </w:p>
    <w:p w:rsidR="0031076A" w:rsidRDefault="0031076A">
      <w:pPr>
        <w:spacing w:line="480" w:lineRule="auto"/>
        <w:sectPr w:rsidR="0031076A">
          <w:pgSz w:w="12240" w:h="15840"/>
          <w:pgMar w:top="1500" w:right="1340" w:bottom="280" w:left="1340" w:header="720" w:footer="720" w:gutter="0"/>
          <w:cols w:space="720"/>
        </w:sectPr>
      </w:pPr>
    </w:p>
    <w:p w:rsidR="0031076A" w:rsidRDefault="0031076A">
      <w:pPr>
        <w:pStyle w:val="BodyText"/>
        <w:spacing w:before="8"/>
        <w:rPr>
          <w:sz w:val="11"/>
        </w:rPr>
      </w:pPr>
    </w:p>
    <w:p w:rsidR="0031076A" w:rsidRDefault="00935374">
      <w:pPr>
        <w:pStyle w:val="BodyText"/>
        <w:spacing w:before="77" w:line="480" w:lineRule="auto"/>
        <w:ind w:left="120" w:right="205" w:firstLine="719"/>
      </w:pPr>
      <w:r>
        <w:t>In the following analysis, we examine the performance of individuals with felony waivers relative to their non-waiver peers. Concerns about negative attributes of ex-offenders correspond to the prediction that individuals who receive felony waivers will be unsuccessful in the structured workplace setting of the armed forces. But if employers’ concerns are exaggerated or unwarranted, or if effective screening can adequately select those ready for work, individuals given this second chance may perform similarly to their non-offender counterparts.</w:t>
      </w:r>
    </w:p>
    <w:p w:rsidR="0031076A" w:rsidRDefault="0031076A">
      <w:pPr>
        <w:pStyle w:val="BodyText"/>
      </w:pPr>
    </w:p>
    <w:p w:rsidR="0031076A" w:rsidRDefault="0031076A">
      <w:pPr>
        <w:pStyle w:val="BodyText"/>
        <w:spacing w:before="9"/>
        <w:rPr>
          <w:sz w:val="23"/>
        </w:rPr>
      </w:pPr>
    </w:p>
    <w:p w:rsidR="0031076A" w:rsidRDefault="00935374">
      <w:pPr>
        <w:pStyle w:val="Heading2"/>
        <w:jc w:val="both"/>
        <w:rPr>
          <w:rFonts w:ascii="Garamond"/>
        </w:rPr>
      </w:pPr>
      <w:r>
        <w:rPr>
          <w:rFonts w:ascii="Garamond"/>
        </w:rPr>
        <w:t>DATA and VARIABLE CONSTRUCTION</w:t>
      </w:r>
    </w:p>
    <w:p w:rsidR="0031076A" w:rsidRDefault="0031076A">
      <w:pPr>
        <w:pStyle w:val="BodyText"/>
        <w:rPr>
          <w:b/>
        </w:rPr>
      </w:pPr>
    </w:p>
    <w:p w:rsidR="0031076A" w:rsidRDefault="00935374">
      <w:pPr>
        <w:pStyle w:val="BodyText"/>
        <w:spacing w:line="480" w:lineRule="auto"/>
        <w:ind w:left="120" w:right="113"/>
        <w:jc w:val="both"/>
      </w:pPr>
      <w:r>
        <w:t>In the spring of 2013, we filed a Freedom of Information Act (FOIA) request to obtain complete population data for all new active duty enlistments in calendar years 2002 through 2009.</w:t>
      </w:r>
      <w:r>
        <w:rPr>
          <w:position w:val="10"/>
          <w:sz w:val="14"/>
        </w:rPr>
        <w:t xml:space="preserve">4 </w:t>
      </w:r>
      <w:r>
        <w:t xml:space="preserve">Roughly 18 months later, the Department of Defense (DoD), Defense Manpower Data Center (DMDC) supplied our requested data in three separate text files with three data dictionaries describing the location and coding scheme for each of the variables that we received. All three data files were anonymized by the </w:t>
      </w:r>
      <w:proofErr w:type="gramStart"/>
      <w:r>
        <w:t>DoD</w:t>
      </w:r>
      <w:proofErr w:type="gramEnd"/>
      <w:r>
        <w:t xml:space="preserve"> using a 9-digit unique identifier created for our FOIA case. The first    text file contained demographic and enlisted-related information for the total sample of 1,330,759 active duty individuals. The second file contained 4,010,861 records of related promotion data       for each sample member and the third file contained 643,763 of any related separation records,   each in long format. Upon converting to wide data format in STATA, we merged the three files using the 9-digit identifier. We cleaned the data by first removing those with duplicate IDs, and then by excluding those  with  pre-enlistment  year  promotion  or  separation  records  to   prevent  the  inclusion </w:t>
      </w:r>
      <w:r>
        <w:rPr>
          <w:spacing w:val="45"/>
        </w:rPr>
        <w:t xml:space="preserve"> </w:t>
      </w:r>
      <w:r>
        <w:t>of</w:t>
      </w:r>
    </w:p>
    <w:p w:rsidR="0031076A" w:rsidRDefault="0031076A">
      <w:pPr>
        <w:pStyle w:val="BodyText"/>
        <w:rPr>
          <w:sz w:val="20"/>
        </w:rPr>
      </w:pPr>
    </w:p>
    <w:p w:rsidR="0031076A" w:rsidRDefault="0031076A">
      <w:pPr>
        <w:pStyle w:val="BodyText"/>
        <w:rPr>
          <w:sz w:val="20"/>
        </w:rPr>
      </w:pPr>
    </w:p>
    <w:p w:rsidR="0031076A" w:rsidRDefault="00E0098D">
      <w:pPr>
        <w:pStyle w:val="BodyText"/>
        <w:spacing w:before="1"/>
        <w:rPr>
          <w:sz w:val="23"/>
        </w:rPr>
      </w:pPr>
      <w:r>
        <w:rPr>
          <w:noProof/>
        </w:rPr>
        <mc:AlternateContent>
          <mc:Choice Requires="wps">
            <w:drawing>
              <wp:anchor distT="0" distB="0" distL="0" distR="0" simplePos="0" relativeHeight="251654656" behindDoc="0" locked="0" layoutInCell="1" allowOverlap="1">
                <wp:simplePos x="0" y="0"/>
                <wp:positionH relativeFrom="page">
                  <wp:posOffset>914400</wp:posOffset>
                </wp:positionH>
                <wp:positionV relativeFrom="paragraph">
                  <wp:posOffset>194310</wp:posOffset>
                </wp:positionV>
                <wp:extent cx="1829435" cy="0"/>
                <wp:effectExtent l="9525" t="13335" r="8890" b="5715"/>
                <wp:wrapTopAndBottom/>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3pt" to="216.0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c3V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" strokeweight=".72pt">
                <w10:wrap type="topAndBottom" anchorx="page"/>
              </v:line>
            </w:pict>
          </mc:Fallback>
        </mc:AlternateContent>
      </w:r>
    </w:p>
    <w:p w:rsidR="0031076A" w:rsidRDefault="00935374">
      <w:pPr>
        <w:spacing w:before="47" w:line="244" w:lineRule="auto"/>
        <w:ind w:left="120" w:right="285"/>
        <w:jc w:val="both"/>
        <w:rPr>
          <w:sz w:val="20"/>
        </w:rPr>
      </w:pPr>
      <w:r>
        <w:rPr>
          <w:rFonts w:ascii="Calibri"/>
          <w:position w:val="10"/>
          <w:sz w:val="14"/>
        </w:rPr>
        <w:t xml:space="preserve">4 </w:t>
      </w:r>
      <w:proofErr w:type="gramStart"/>
      <w:r>
        <w:rPr>
          <w:sz w:val="20"/>
        </w:rPr>
        <w:t>Ref</w:t>
      </w:r>
      <w:proofErr w:type="gramEnd"/>
      <w:r>
        <w:rPr>
          <w:sz w:val="20"/>
        </w:rPr>
        <w:t>: 13-F-0580. We requested a total of 29 variables. Our request for data on offense description codes, total number of waivers, outcomes of basic training and Advanced Individual Training (AIT), contract length at signup, and specific achievements or honors was not met.</w:t>
      </w:r>
    </w:p>
    <w:p w:rsidR="0031076A" w:rsidRDefault="0031076A">
      <w:pPr>
        <w:spacing w:line="244" w:lineRule="auto"/>
        <w:jc w:val="both"/>
        <w:rPr>
          <w:sz w:val="20"/>
        </w:rPr>
        <w:sectPr w:rsidR="0031076A">
          <w:pgSz w:w="12240" w:h="15840"/>
          <w:pgMar w:top="1500" w:right="1320" w:bottom="280" w:left="1320" w:header="720" w:footer="720" w:gutter="0"/>
          <w:cols w:space="720"/>
        </w:sectPr>
      </w:pPr>
    </w:p>
    <w:p w:rsidR="0031076A" w:rsidRDefault="0031076A">
      <w:pPr>
        <w:pStyle w:val="BodyText"/>
        <w:spacing w:before="6"/>
        <w:rPr>
          <w:sz w:val="9"/>
        </w:rPr>
      </w:pPr>
    </w:p>
    <w:p w:rsidR="0031076A" w:rsidRDefault="00935374">
      <w:pPr>
        <w:pStyle w:val="BodyText"/>
        <w:spacing w:before="87" w:line="480" w:lineRule="auto"/>
        <w:ind w:left="120" w:right="117"/>
        <w:jc w:val="both"/>
      </w:pPr>
      <w:proofErr w:type="gramStart"/>
      <w:r>
        <w:t>individuals</w:t>
      </w:r>
      <w:proofErr w:type="gramEnd"/>
      <w:r>
        <w:t xml:space="preserve"> who re-enlisted after a break in service.</w:t>
      </w:r>
      <w:r>
        <w:rPr>
          <w:position w:val="10"/>
          <w:sz w:val="14"/>
        </w:rPr>
        <w:t xml:space="preserve">5  </w:t>
      </w:r>
      <w:r>
        <w:t xml:space="preserve">We further restricted our sample by    removing those who lacked pay grade information at time of enlistment. This resulted in a loss of roughly 4% of the total enlistment records provided by the </w:t>
      </w:r>
      <w:proofErr w:type="gramStart"/>
      <w:r>
        <w:t>DoD</w:t>
      </w:r>
      <w:proofErr w:type="gramEnd"/>
      <w:r>
        <w:t>, reducing the N to</w:t>
      </w:r>
      <w:r>
        <w:rPr>
          <w:spacing w:val="-23"/>
        </w:rPr>
        <w:t xml:space="preserve"> </w:t>
      </w:r>
      <w:r>
        <w:t>1,275,281.</w:t>
      </w:r>
    </w:p>
    <w:p w:rsidR="0031076A" w:rsidRDefault="00935374">
      <w:pPr>
        <w:pStyle w:val="BodyText"/>
        <w:spacing w:line="477" w:lineRule="auto"/>
        <w:ind w:left="120" w:right="114" w:firstLine="719"/>
        <w:jc w:val="both"/>
        <w:rPr>
          <w:sz w:val="14"/>
        </w:rPr>
      </w:pPr>
      <w:r>
        <w:t>Our main independent variable of interest, enlistment waiver type, was predefined by the DoD  based  on  a  3-digit  waiver  category  code,  which  reflects  the  2008  DoD-wide    waiver standardization guidelines. There are four types of enlistment waivers - conduct</w:t>
      </w:r>
      <w:proofErr w:type="gramStart"/>
      <w:r>
        <w:t>,  dependent</w:t>
      </w:r>
      <w:proofErr w:type="gramEnd"/>
      <w:r>
        <w:t>, drug, and medical.</w:t>
      </w:r>
      <w:r>
        <w:rPr>
          <w:position w:val="10"/>
          <w:sz w:val="14"/>
        </w:rPr>
        <w:t xml:space="preserve">6    </w:t>
      </w:r>
      <w:r>
        <w:t>Individuals who entered with any waiver comprise about 6% of    the valid sample. Using the 3-</w:t>
      </w:r>
      <w:proofErr w:type="gramStart"/>
      <w:r>
        <w:t>digit  waiver</w:t>
      </w:r>
      <w:proofErr w:type="gramEnd"/>
      <w:r>
        <w:t xml:space="preserve">  category  code,  we  pulled out  those  with  conduct waivers who could be separated into major misconduct and minor misconduct waivers. Major misconduct refers to offense types for which the maximum period of confinement under local law  is one year or more (similar to the definition  of  a  felony-level  offense);  minor  misconduct refers  to  offense  types  for  which confinement exceeds four months but less than a year (similar  to the definition for a misdemeanor offense). We refer to these as felony waivers and misdemeanor waivers, respectively. Because DoD did not supply offense description codes, we do not know the detailed circumstances behind each </w:t>
      </w:r>
      <w:proofErr w:type="gramStart"/>
      <w:r>
        <w:t>waiver  category</w:t>
      </w:r>
      <w:proofErr w:type="gramEnd"/>
      <w:r>
        <w:t xml:space="preserve">  code.  However</w:t>
      </w:r>
      <w:proofErr w:type="gramStart"/>
      <w:r>
        <w:t>,  conduct</w:t>
      </w:r>
      <w:proofErr w:type="gramEnd"/>
      <w:r>
        <w:t xml:space="preserve">  waivers  are required for offense histories that   </w:t>
      </w:r>
      <w:r>
        <w:rPr>
          <w:spacing w:val="28"/>
        </w:rPr>
        <w:t xml:space="preserve"> </w:t>
      </w:r>
      <w:r>
        <w:t>include arrest, conviction, and/or incarceration.</w:t>
      </w:r>
      <w:r>
        <w:rPr>
          <w:position w:val="10"/>
          <w:sz w:val="14"/>
        </w:rPr>
        <w:t>7</w:t>
      </w:r>
    </w:p>
    <w:p w:rsidR="0031076A" w:rsidRDefault="00E0098D">
      <w:pPr>
        <w:pStyle w:val="BodyText"/>
        <w:rPr>
          <w:sz w:val="26"/>
        </w:rPr>
      </w:pPr>
      <w:r>
        <w:rPr>
          <w:noProof/>
        </w:rPr>
        <mc:AlternateContent>
          <mc:Choice Requires="wps">
            <w:drawing>
              <wp:anchor distT="0" distB="0" distL="0" distR="0" simplePos="0" relativeHeight="251655680" behindDoc="0" locked="0" layoutInCell="1" allowOverlap="1">
                <wp:simplePos x="0" y="0"/>
                <wp:positionH relativeFrom="page">
                  <wp:posOffset>914400</wp:posOffset>
                </wp:positionH>
                <wp:positionV relativeFrom="paragraph">
                  <wp:posOffset>215900</wp:posOffset>
                </wp:positionV>
                <wp:extent cx="1829435" cy="0"/>
                <wp:effectExtent l="9525" t="6350" r="8890" b="12700"/>
                <wp:wrapTopAndBottom/>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pt" to="216.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Jk1FAIAACoEAAAOAAAAZHJzL2Uyb0RvYy54bWysU8uu2jAQ3VfqP1jeQxLIpR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" strokeweight=".72pt">
                <w10:wrap type="topAndBottom" anchorx="page"/>
              </v:line>
            </w:pict>
          </mc:Fallback>
        </mc:AlternateContent>
      </w:r>
    </w:p>
    <w:p w:rsidR="0031076A" w:rsidRDefault="00935374">
      <w:pPr>
        <w:spacing w:before="47" w:line="277" w:lineRule="exact"/>
        <w:ind w:left="120" w:right="205"/>
        <w:rPr>
          <w:sz w:val="20"/>
        </w:rPr>
      </w:pPr>
      <w:r>
        <w:rPr>
          <w:rFonts w:ascii="Calibri"/>
          <w:position w:val="10"/>
          <w:sz w:val="14"/>
        </w:rPr>
        <w:t xml:space="preserve">5 </w:t>
      </w:r>
      <w:r>
        <w:rPr>
          <w:sz w:val="20"/>
        </w:rPr>
        <w:t>We treat immediate reenlistment as having no break in service.</w:t>
      </w:r>
    </w:p>
    <w:p w:rsidR="0031076A" w:rsidRDefault="00935374">
      <w:pPr>
        <w:spacing w:line="242" w:lineRule="auto"/>
        <w:ind w:left="120" w:right="169"/>
        <w:rPr>
          <w:sz w:val="20"/>
        </w:rPr>
      </w:pPr>
      <w:r>
        <w:rPr>
          <w:rFonts w:ascii="Calibri"/>
          <w:position w:val="10"/>
          <w:sz w:val="14"/>
        </w:rPr>
        <w:t xml:space="preserve">6 </w:t>
      </w:r>
      <w:r>
        <w:rPr>
          <w:sz w:val="20"/>
        </w:rPr>
        <w:t>Dependent waivers can be granted to qualifying individuals who ordinarily would not be able to enlist due to family structure dependency, such as having a high number of young children, both parents being enlisted with young children, etc. Health waivers are granted for individuals who do not meet the physical standards due to overweight, a medical condition, etc. Drug waivers can be granted to individuals who test positive for alcohol or drugs upon processing at a Military Entrance Station or who self-disclose addiction. Although Military Entrance Processing Command (MEPCOM) may report a maximum of three enlistment waivers, our FOIA data based on the Defense Manpower Data Center (DMDC) enlistment file, which contains at most one enlistment waiver per enlistee. Therefore, waivers are mutually exclusive in our data. For example, any given felony-level waiver may also have misdemeanor offenses as well.</w:t>
      </w:r>
    </w:p>
    <w:p w:rsidR="0031076A" w:rsidRDefault="00935374">
      <w:pPr>
        <w:spacing w:line="257" w:lineRule="exact"/>
        <w:ind w:left="120" w:right="131"/>
        <w:rPr>
          <w:sz w:val="20"/>
        </w:rPr>
      </w:pPr>
      <w:r>
        <w:rPr>
          <w:rFonts w:ascii="Calibri"/>
          <w:position w:val="10"/>
          <w:sz w:val="14"/>
        </w:rPr>
        <w:t xml:space="preserve">7 </w:t>
      </w:r>
      <w:r>
        <w:rPr>
          <w:sz w:val="20"/>
        </w:rPr>
        <w:t>Before 2008, the Marines and the Navy allowed consideration of major conduct waivers for individuals with more than</w:t>
      </w:r>
    </w:p>
    <w:p w:rsidR="0031076A" w:rsidRDefault="00935374">
      <w:pPr>
        <w:spacing w:before="7"/>
        <w:ind w:left="120" w:right="205"/>
        <w:rPr>
          <w:sz w:val="20"/>
        </w:rPr>
      </w:pPr>
      <w:proofErr w:type="gramStart"/>
      <w:r>
        <w:rPr>
          <w:sz w:val="20"/>
        </w:rPr>
        <w:t>one</w:t>
      </w:r>
      <w:proofErr w:type="gramEnd"/>
      <w:r>
        <w:rPr>
          <w:sz w:val="20"/>
        </w:rPr>
        <w:t xml:space="preserve"> felony offense; in 2008, all military branches moved to a policy of automatic disqualification from waiver consideration for those with more than one felony. (But in practice, the whole person </w:t>
      </w:r>
      <w:proofErr w:type="gramStart"/>
      <w:r>
        <w:rPr>
          <w:sz w:val="20"/>
        </w:rPr>
        <w:t>criteria, which considers</w:t>
      </w:r>
      <w:proofErr w:type="gramEnd"/>
      <w:r>
        <w:rPr>
          <w:sz w:val="20"/>
        </w:rPr>
        <w:t xml:space="preserve"> severity and type crime, screened many of those with multiple felonies out even when they are not automatically disqualified). </w:t>
      </w:r>
      <w:proofErr w:type="gramStart"/>
      <w:r>
        <w:rPr>
          <w:sz w:val="20"/>
        </w:rPr>
        <w:t>Misdemeanor waiver policy also varied by branch before 2008.</w:t>
      </w:r>
      <w:proofErr w:type="gramEnd"/>
      <w:r>
        <w:rPr>
          <w:sz w:val="20"/>
        </w:rPr>
        <w:t xml:space="preserve"> Previously, automatic rejection for misdemeanor waiver</w:t>
      </w:r>
    </w:p>
    <w:p w:rsidR="0031076A" w:rsidRDefault="0031076A">
      <w:pPr>
        <w:rPr>
          <w:sz w:val="20"/>
        </w:rPr>
        <w:sectPr w:rsidR="0031076A">
          <w:pgSz w:w="12240" w:h="15840"/>
          <w:pgMar w:top="1500" w:right="1320" w:bottom="280" w:left="1320" w:header="720" w:footer="720" w:gutter="0"/>
          <w:cols w:space="720"/>
        </w:sectPr>
      </w:pPr>
    </w:p>
    <w:p w:rsidR="0031076A" w:rsidRDefault="0031076A">
      <w:pPr>
        <w:pStyle w:val="BodyText"/>
        <w:spacing w:before="8"/>
        <w:rPr>
          <w:sz w:val="11"/>
        </w:rPr>
      </w:pPr>
    </w:p>
    <w:p w:rsidR="0031076A" w:rsidRDefault="00935374">
      <w:pPr>
        <w:pStyle w:val="BodyText"/>
        <w:spacing w:before="77" w:line="480" w:lineRule="auto"/>
        <w:ind w:left="120" w:right="115" w:firstLine="719"/>
        <w:jc w:val="both"/>
      </w:pPr>
      <w:r>
        <w:t xml:space="preserve">Our control variables cover demographic and educational backgrounds of enlistees, as well as, branch of service, and contextual variables based on enlistment years. Race, ethnicity, gender, citizenship, and education level all follow </w:t>
      </w:r>
      <w:proofErr w:type="gramStart"/>
      <w:r>
        <w:t>DoD</w:t>
      </w:r>
      <w:proofErr w:type="gramEnd"/>
      <w:r>
        <w:t xml:space="preserve"> definitions, but we simplified race, ethnicity, citizenship, and education level for the purpose of our study. For example, </w:t>
      </w:r>
      <w:proofErr w:type="gramStart"/>
      <w:r>
        <w:t>DoD</w:t>
      </w:r>
      <w:proofErr w:type="gramEnd"/>
      <w:r>
        <w:t xml:space="preserve"> changed the race coding scheme in 2003 to consider different combinations of mixed raced individuals. In order to increase comparability between 2002 and post-2003 data, we recoded racial categories into      white, black/African American, Asian American, American Indian/Native Alaskan, Native Hawaiian/other Pacific islanders, mixed races, and missing/other. The ethnicity coding schema was also revised in 2003, but unlike revisions to race coding, the </w:t>
      </w:r>
      <w:proofErr w:type="gramStart"/>
      <w:r>
        <w:t>DoD</w:t>
      </w:r>
      <w:proofErr w:type="gramEnd"/>
      <w:r>
        <w:t xml:space="preserve"> simplified the categories to distinguish Hispanics from non-Hispanics and discontinued the use of detailed ethnicity information. Therefore, we re- coded pre-2003 data to match the  latest  ethnicity  coding  schema and created missing/other category flags for those who did not provide ethnicity information or whose ethnicity was unknown. Gender is a dummy variable (1=female), as is citizenship</w:t>
      </w:r>
      <w:proofErr w:type="gramStart"/>
      <w:r>
        <w:t>,  indicating</w:t>
      </w:r>
      <w:proofErr w:type="gramEnd"/>
      <w:r>
        <w:t xml:space="preserve">  whether  the  enlistee  was  a citizen at the time of enlistment (1=entered as a citizen). Detailed education categories at time of enlistment were recoded so that high school non-completers</w:t>
      </w:r>
      <w:proofErr w:type="gramStart"/>
      <w:r>
        <w:t>,  GED</w:t>
      </w:r>
      <w:proofErr w:type="gramEnd"/>
      <w:r>
        <w:t xml:space="preserve">  equivalent  credentials,  high school graduates, and those with some college education could be identified. We also control for branch of service and time period of enlistment for demand-side determinants of conduct waiver use and rate of retention and promotion</w:t>
      </w:r>
      <w:r>
        <w:rPr>
          <w:spacing w:val="-14"/>
        </w:rPr>
        <w:t xml:space="preserve"> </w:t>
      </w:r>
      <w:r>
        <w:t>outcomes.</w:t>
      </w:r>
    </w:p>
    <w:p w:rsidR="0031076A" w:rsidRDefault="0031076A">
      <w:pPr>
        <w:pStyle w:val="BodyText"/>
      </w:pPr>
    </w:p>
    <w:p w:rsidR="0031076A" w:rsidRDefault="0031076A">
      <w:pPr>
        <w:pStyle w:val="BodyText"/>
        <w:spacing w:before="9"/>
        <w:rPr>
          <w:sz w:val="23"/>
        </w:rPr>
      </w:pPr>
    </w:p>
    <w:p w:rsidR="0031076A" w:rsidRDefault="00935374">
      <w:pPr>
        <w:pStyle w:val="Heading2"/>
        <w:ind w:right="205"/>
        <w:rPr>
          <w:rFonts w:ascii="Garamond"/>
        </w:rPr>
      </w:pPr>
      <w:r>
        <w:rPr>
          <w:rFonts w:ascii="Garamond"/>
        </w:rPr>
        <w:t>METHODOLOGICAL APPROACH</w:t>
      </w:r>
    </w:p>
    <w:p w:rsidR="0031076A" w:rsidRDefault="0031076A">
      <w:pPr>
        <w:pStyle w:val="BodyText"/>
        <w:rPr>
          <w:b/>
          <w:sz w:val="20"/>
        </w:rPr>
      </w:pPr>
    </w:p>
    <w:p w:rsidR="0031076A" w:rsidRDefault="0031076A">
      <w:pPr>
        <w:pStyle w:val="BodyText"/>
        <w:rPr>
          <w:b/>
          <w:sz w:val="20"/>
        </w:rPr>
      </w:pPr>
    </w:p>
    <w:p w:rsidR="0031076A" w:rsidRDefault="0031076A">
      <w:pPr>
        <w:pStyle w:val="BodyText"/>
        <w:rPr>
          <w:b/>
          <w:sz w:val="20"/>
        </w:rPr>
      </w:pPr>
    </w:p>
    <w:p w:rsidR="0031076A" w:rsidRDefault="00E0098D">
      <w:pPr>
        <w:pStyle w:val="BodyText"/>
        <w:spacing w:before="10"/>
        <w:rPr>
          <w:b/>
          <w:sz w:val="10"/>
        </w:rPr>
      </w:pPr>
      <w:r>
        <w:rPr>
          <w:noProof/>
        </w:rPr>
        <mc:AlternateContent>
          <mc:Choice Requires="wps">
            <w:drawing>
              <wp:anchor distT="0" distB="0" distL="0" distR="0" simplePos="0" relativeHeight="251656704" behindDoc="0" locked="0" layoutInCell="1" allowOverlap="1">
                <wp:simplePos x="0" y="0"/>
                <wp:positionH relativeFrom="page">
                  <wp:posOffset>914400</wp:posOffset>
                </wp:positionH>
                <wp:positionV relativeFrom="paragraph">
                  <wp:posOffset>107315</wp:posOffset>
                </wp:positionV>
                <wp:extent cx="5944870" cy="0"/>
                <wp:effectExtent l="9525" t="12065" r="8255" b="6985"/>
                <wp:wrapTopAndBottom/>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45pt" to="540.1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CTzFAIAACoEAAAOAAAAZHJzL2Uyb0RvYy54bWysU8GO2jAQvVfqP1i+QxKaZS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" strokeweight=".72pt">
                <w10:wrap type="topAndBottom" anchorx="page"/>
              </v:line>
            </w:pict>
          </mc:Fallback>
        </mc:AlternateContent>
      </w:r>
    </w:p>
    <w:p w:rsidR="0031076A" w:rsidRDefault="00935374">
      <w:pPr>
        <w:spacing w:before="72"/>
        <w:ind w:left="120" w:right="205"/>
        <w:rPr>
          <w:sz w:val="20"/>
        </w:rPr>
      </w:pPr>
      <w:proofErr w:type="gramStart"/>
      <w:r>
        <w:rPr>
          <w:sz w:val="20"/>
        </w:rPr>
        <w:t>consideration</w:t>
      </w:r>
      <w:proofErr w:type="gramEnd"/>
      <w:r>
        <w:rPr>
          <w:sz w:val="20"/>
        </w:rPr>
        <w:t xml:space="preserve"> ranged from a maximum of two to an unlimited number of misdemeanors based on service branch. Post- 2008, each branch adopted the policy of considering misdemeanor waivers only if the number of misdemeanor offenses did not exceed two or if the enlistee had committed only one misdemeanor offenses and no more than five lower level misconduct offenses (such as vandalism, drunk in public, etc.).</w:t>
      </w:r>
    </w:p>
    <w:p w:rsidR="0031076A" w:rsidRDefault="0031076A">
      <w:pPr>
        <w:rPr>
          <w:sz w:val="20"/>
        </w:rPr>
        <w:sectPr w:rsidR="0031076A">
          <w:pgSz w:w="12240" w:h="15840"/>
          <w:pgMar w:top="1500" w:right="1320" w:bottom="280" w:left="1320" w:header="720" w:footer="720" w:gutter="0"/>
          <w:cols w:space="720"/>
        </w:sectPr>
      </w:pPr>
    </w:p>
    <w:p w:rsidR="0031076A" w:rsidRDefault="0031076A">
      <w:pPr>
        <w:pStyle w:val="BodyText"/>
        <w:spacing w:before="8"/>
        <w:rPr>
          <w:sz w:val="11"/>
        </w:rPr>
      </w:pPr>
    </w:p>
    <w:p w:rsidR="0031076A" w:rsidRDefault="00935374">
      <w:pPr>
        <w:pStyle w:val="BodyText"/>
        <w:spacing w:before="77" w:line="480" w:lineRule="auto"/>
        <w:ind w:left="120" w:right="117" w:firstLine="779"/>
        <w:jc w:val="both"/>
      </w:pPr>
      <w:r>
        <w:t>Our analysis proceeds in three stages. First, we examine the likelihood of early termination, to establish whether or not those entering with felony waivers have higher levels of attrition. Next, we examine the circumstances behind early termination, with particular attention to involuntary terminations driven by poor performance or misconduct. The last stage of our analyses examines the pace and the level of promotion experienced by those with and without felony waivers.</w:t>
      </w:r>
    </w:p>
    <w:p w:rsidR="0031076A" w:rsidRDefault="00935374">
      <w:pPr>
        <w:pStyle w:val="BodyText"/>
        <w:spacing w:line="480" w:lineRule="auto"/>
        <w:ind w:left="120" w:right="118" w:firstLine="719"/>
        <w:jc w:val="both"/>
      </w:pPr>
      <w:r>
        <w:t>The unit of analysis is the individual soldier, and we restrict our empirical analysis to those with valid separation and promotion records. For analyzing categorical outcome variables, we use three sets of logistic regression models to estimate the likelihood of: 1) early termination, 2) reason for termination, and 3) promotion to rank of sergeant and above and rate of promotion based on accession and highest pay grade on record. We additionally perform robustness checks using Coarsened Exact Matching (CEM), to ensure adequate covariance balance among our waiver and non-waiver samples. For the promotion rate analysis, we use Ordinary Least Squares regression    to estimate the effects of felony waiver status on the linearly-ordered rank</w:t>
      </w:r>
      <w:r>
        <w:rPr>
          <w:spacing w:val="-22"/>
        </w:rPr>
        <w:t xml:space="preserve"> </w:t>
      </w:r>
      <w:r>
        <w:t>scale.</w:t>
      </w:r>
    </w:p>
    <w:p w:rsidR="0031076A" w:rsidRDefault="00E0098D">
      <w:pPr>
        <w:pStyle w:val="BodyText"/>
        <w:spacing w:line="477" w:lineRule="auto"/>
        <w:ind w:left="120" w:right="115" w:firstLine="719"/>
        <w:jc w:val="both"/>
      </w:pPr>
      <w:r>
        <w:rPr>
          <w:noProof/>
        </w:rPr>
        <mc:AlternateContent>
          <mc:Choice Requires="wps">
            <w:drawing>
              <wp:anchor distT="0" distB="0" distL="0" distR="0" simplePos="0" relativeHeight="251657728" behindDoc="0" locked="0" layoutInCell="1" allowOverlap="1">
                <wp:simplePos x="0" y="0"/>
                <wp:positionH relativeFrom="page">
                  <wp:posOffset>914400</wp:posOffset>
                </wp:positionH>
                <wp:positionV relativeFrom="paragraph">
                  <wp:posOffset>3166110</wp:posOffset>
                </wp:positionV>
                <wp:extent cx="1829435" cy="0"/>
                <wp:effectExtent l="9525" t="13335" r="8890" b="5715"/>
                <wp:wrapTopAndBottom/>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49.3pt" to="216.05pt,2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XhQEw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" strokeweight=".72pt">
                <w10:wrap type="topAndBottom" anchorx="page"/>
              </v:line>
            </w:pict>
          </mc:Fallback>
        </mc:AlternateContent>
      </w:r>
      <w:r w:rsidR="00935374">
        <w:t>In the first set of analyses, we focus on likelihood of an early termination to understand whether felony waivers are more or less likely to leave the service before the expiration of their term. For this stage of analyses, we first restrict our samples to 1,269,232 enlistees without breaks in enlistment, and analyze specific contexts behind early termination using 380,881 separators with one separation record.</w:t>
      </w:r>
      <w:r w:rsidR="00935374">
        <w:rPr>
          <w:position w:val="10"/>
          <w:sz w:val="14"/>
        </w:rPr>
        <w:t xml:space="preserve">8 </w:t>
      </w:r>
      <w:r w:rsidR="00935374">
        <w:t>Early exits from the military are usually seen as negative, known as BCDs (Bad Conduct Discharge), which occur by a court-martial and are clearly a negative employment outcome. However, honorable discharges also occur for other reasons, including combat-related injury and disability, which may be seen as a neutral or even a positive employment outcome to the extent that it signals higher standards of service. In order to better understand the circumstances behind each</w:t>
      </w:r>
    </w:p>
    <w:p w:rsidR="0031076A" w:rsidRDefault="00935374">
      <w:pPr>
        <w:spacing w:before="44"/>
        <w:ind w:left="120" w:right="205"/>
        <w:rPr>
          <w:rFonts w:ascii="Calibri"/>
          <w:sz w:val="20"/>
        </w:rPr>
      </w:pPr>
      <w:r>
        <w:rPr>
          <w:rFonts w:ascii="Calibri"/>
          <w:position w:val="10"/>
          <w:sz w:val="14"/>
        </w:rPr>
        <w:t xml:space="preserve">8 </w:t>
      </w:r>
      <w:r>
        <w:rPr>
          <w:rFonts w:ascii="Calibri"/>
          <w:sz w:val="20"/>
        </w:rPr>
        <w:t>We excluded roughly 1.62% of the early separators, who had multiple separation records.</w:t>
      </w:r>
    </w:p>
    <w:p w:rsidR="0031076A" w:rsidRDefault="0031076A">
      <w:pPr>
        <w:rPr>
          <w:rFonts w:ascii="Calibri"/>
          <w:sz w:val="20"/>
        </w:rPr>
        <w:sectPr w:rsidR="0031076A">
          <w:pgSz w:w="12240" w:h="15840"/>
          <w:pgMar w:top="1500" w:right="1320" w:bottom="280" w:left="1320" w:header="720" w:footer="720" w:gutter="0"/>
          <w:cols w:space="720"/>
        </w:sectPr>
      </w:pPr>
    </w:p>
    <w:p w:rsidR="0031076A" w:rsidRDefault="0031076A">
      <w:pPr>
        <w:pStyle w:val="BodyText"/>
        <w:spacing w:before="9"/>
        <w:rPr>
          <w:rFonts w:ascii="Calibri"/>
          <w:sz w:val="10"/>
        </w:rPr>
      </w:pPr>
    </w:p>
    <w:p w:rsidR="0031076A" w:rsidRDefault="00935374">
      <w:pPr>
        <w:pStyle w:val="BodyText"/>
        <w:spacing w:before="77" w:line="477" w:lineRule="auto"/>
        <w:ind w:left="120" w:right="115"/>
        <w:jc w:val="both"/>
      </w:pPr>
      <w:r>
        <w:t>termination,  we  also  examine  three  major  causes  of  early  departure  based  on  4-digit separation codes: poor performance or misconduct,  health,  and  death  or  MIA  (missing  in action).</w:t>
      </w:r>
      <w:r>
        <w:rPr>
          <w:position w:val="10"/>
          <w:sz w:val="14"/>
        </w:rPr>
        <w:t xml:space="preserve">9   </w:t>
      </w:r>
      <w:r>
        <w:t xml:space="preserve">Poor performance or misconduct accounted for 64% of early terminations, whereas   health and death or MIA accounted for about 16% and 1.3%  respectively.  </w:t>
      </w:r>
      <w:proofErr w:type="gramStart"/>
      <w:r>
        <w:t>By  looking</w:t>
      </w:r>
      <w:proofErr w:type="gramEnd"/>
      <w:r>
        <w:t xml:space="preserve">  at  the specific  circumstances under which those with felony waivers leave the military prior to   completion of their service term, we can better understand if and when the enlistment of felony waivers may impose added costs. The second set of analyses evaluates positive performance indicators of promotion, here captured from two different angles. The first is a rate indicator, measuring the difference between pay grade at entry and the latest pay grade on record. Upon eliminating those without accession pay information, we analyze promotion records of 1,269,232 enlistees. Military pay grade for </w:t>
      </w:r>
      <w:proofErr w:type="gramStart"/>
      <w:r>
        <w:t>enlisted  personnel</w:t>
      </w:r>
      <w:proofErr w:type="gramEnd"/>
      <w:r>
        <w:t xml:space="preserve"> ranges across nine different levels, and promotions follow centralized or semi-centralized guidelines depending on the class of soldier.</w:t>
      </w:r>
      <w:r>
        <w:rPr>
          <w:position w:val="10"/>
          <w:sz w:val="14"/>
        </w:rPr>
        <w:t xml:space="preserve">10   </w:t>
      </w:r>
      <w:r>
        <w:t>In order to account for duration of service, which also impacts the  rate  of  promotion,  we   include each individual’s total years  served.  We  analyze  the  rate  of promotion  as  the  total number  of  pay  ranks  in  which  he/she  advanced  since  enlistment  and promotion to sergeant as a logistic categorical outcome.</w:t>
      </w:r>
      <w:r>
        <w:rPr>
          <w:position w:val="10"/>
          <w:sz w:val="14"/>
        </w:rPr>
        <w:t xml:space="preserve">11 </w:t>
      </w:r>
      <w:r>
        <w:t>[placeholder: We the 1,253,652 cases with valid enlistment and post-enlistment pay rank records.</w:t>
      </w:r>
      <w:r>
        <w:rPr>
          <w:spacing w:val="-19"/>
        </w:rPr>
        <w:t xml:space="preserve"> </w:t>
      </w:r>
      <w:r>
        <w:t>]</w:t>
      </w:r>
    </w:p>
    <w:p w:rsidR="0031076A" w:rsidRDefault="00935374">
      <w:pPr>
        <w:pStyle w:val="BodyText"/>
        <w:spacing w:before="2" w:line="480" w:lineRule="auto"/>
        <w:ind w:left="120" w:right="205" w:firstLine="719"/>
      </w:pPr>
      <w:r>
        <w:t xml:space="preserve">To differentiate semi-automatic promotions based on time-in-service from more competitive promotions based on rigorous screening processes and occupation-specific </w:t>
      </w:r>
      <w:proofErr w:type="gramStart"/>
      <w:r>
        <w:t>supply  and</w:t>
      </w:r>
      <w:proofErr w:type="gramEnd"/>
      <w:r>
        <w:t xml:space="preserve"> demand</w:t>
      </w:r>
      <w:r>
        <w:rPr>
          <w:spacing w:val="44"/>
        </w:rPr>
        <w:t xml:space="preserve"> </w:t>
      </w:r>
      <w:r>
        <w:t>of</w:t>
      </w:r>
    </w:p>
    <w:p w:rsidR="0031076A" w:rsidRDefault="00E0098D">
      <w:pPr>
        <w:pStyle w:val="BodyText"/>
        <w:rPr>
          <w:sz w:val="11"/>
        </w:rPr>
      </w:pPr>
      <w:r>
        <w:rPr>
          <w:noProof/>
        </w:rPr>
        <mc:AlternateContent>
          <mc:Choice Requires="wps">
            <w:drawing>
              <wp:anchor distT="0" distB="0" distL="0" distR="0" simplePos="0" relativeHeight="251658752" behindDoc="0" locked="0" layoutInCell="1" allowOverlap="1">
                <wp:simplePos x="0" y="0"/>
                <wp:positionH relativeFrom="page">
                  <wp:posOffset>914400</wp:posOffset>
                </wp:positionH>
                <wp:positionV relativeFrom="paragraph">
                  <wp:posOffset>108585</wp:posOffset>
                </wp:positionV>
                <wp:extent cx="1829435" cy="0"/>
                <wp:effectExtent l="9525" t="13335" r="8890" b="5715"/>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55pt" to="216.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H+9Ew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" strokeweight=".72pt">
                <w10:wrap type="topAndBottom" anchorx="page"/>
              </v:line>
            </w:pict>
          </mc:Fallback>
        </mc:AlternateContent>
      </w:r>
    </w:p>
    <w:p w:rsidR="0031076A" w:rsidRDefault="00935374">
      <w:pPr>
        <w:spacing w:before="47" w:line="244" w:lineRule="auto"/>
        <w:ind w:left="120" w:right="961"/>
        <w:rPr>
          <w:sz w:val="20"/>
        </w:rPr>
      </w:pPr>
      <w:r>
        <w:rPr>
          <w:rFonts w:ascii="Calibri"/>
          <w:position w:val="10"/>
          <w:sz w:val="14"/>
        </w:rPr>
        <w:t xml:space="preserve">9 </w:t>
      </w:r>
      <w:r>
        <w:rPr>
          <w:sz w:val="20"/>
        </w:rPr>
        <w:t xml:space="preserve">Based on the data dictionary provided by the </w:t>
      </w:r>
      <w:proofErr w:type="gramStart"/>
      <w:r>
        <w:rPr>
          <w:sz w:val="20"/>
        </w:rPr>
        <w:t>DoD</w:t>
      </w:r>
      <w:proofErr w:type="gramEnd"/>
      <w:r>
        <w:rPr>
          <w:sz w:val="20"/>
        </w:rPr>
        <w:t xml:space="preserve"> for our data, we grouped 73 separation codes into; 1) good/legitimate, 2) health, 3) death or MIA, 4) poor performance of misconduct, and 5) missing/unknown/other. Detailed coding scheme is available upon request.</w:t>
      </w:r>
    </w:p>
    <w:p w:rsidR="0031076A" w:rsidRDefault="00935374">
      <w:pPr>
        <w:spacing w:line="257" w:lineRule="exact"/>
        <w:ind w:left="120" w:right="205"/>
        <w:rPr>
          <w:sz w:val="20"/>
        </w:rPr>
      </w:pPr>
      <w:r>
        <w:rPr>
          <w:rFonts w:ascii="Calibri"/>
          <w:position w:val="10"/>
          <w:sz w:val="14"/>
        </w:rPr>
        <w:t xml:space="preserve">10 </w:t>
      </w:r>
      <w:r>
        <w:rPr>
          <w:sz w:val="20"/>
        </w:rPr>
        <w:t>There are nine enlisted rank levels, starting at E1 and going to E9. Each rank level is equivalent to a pay grade. The</w:t>
      </w:r>
    </w:p>
    <w:p w:rsidR="0031076A" w:rsidRDefault="00935374">
      <w:pPr>
        <w:spacing w:before="7"/>
        <w:ind w:left="120" w:right="961"/>
        <w:rPr>
          <w:sz w:val="20"/>
        </w:rPr>
      </w:pPr>
      <w:proofErr w:type="gramStart"/>
      <w:r>
        <w:rPr>
          <w:sz w:val="20"/>
        </w:rPr>
        <w:t>same</w:t>
      </w:r>
      <w:proofErr w:type="gramEnd"/>
      <w:r>
        <w:rPr>
          <w:sz w:val="20"/>
        </w:rPr>
        <w:t xml:space="preserve"> basic numeric rank/paygrade scale applies to officers (generally those with a college degree who enter as commissioned officers), O1-O10.</w:t>
      </w:r>
    </w:p>
    <w:p w:rsidR="0031076A" w:rsidRDefault="00935374">
      <w:pPr>
        <w:spacing w:line="262" w:lineRule="exact"/>
        <w:ind w:left="120" w:right="205"/>
        <w:rPr>
          <w:sz w:val="20"/>
        </w:rPr>
      </w:pPr>
      <w:r>
        <w:rPr>
          <w:rFonts w:ascii="Calibri"/>
          <w:position w:val="10"/>
          <w:sz w:val="14"/>
        </w:rPr>
        <w:t xml:space="preserve">11 </w:t>
      </w:r>
      <w:r>
        <w:rPr>
          <w:sz w:val="20"/>
        </w:rPr>
        <w:t>We considered the possibility of conducting event-history analysis to analyze the rate and chronological order of</w:t>
      </w:r>
    </w:p>
    <w:p w:rsidR="0031076A" w:rsidRDefault="00935374">
      <w:pPr>
        <w:spacing w:before="7"/>
        <w:ind w:left="120" w:right="503"/>
        <w:rPr>
          <w:sz w:val="20"/>
        </w:rPr>
      </w:pPr>
      <w:proofErr w:type="gramStart"/>
      <w:r>
        <w:rPr>
          <w:sz w:val="20"/>
        </w:rPr>
        <w:t>enlistments</w:t>
      </w:r>
      <w:proofErr w:type="gramEnd"/>
      <w:r>
        <w:rPr>
          <w:sz w:val="20"/>
        </w:rPr>
        <w:t>, promotions and separations, but our data excludes re-enlistment records (if an enlistee temporarily pauses his/her service, we have no way of knowing how long the break is). As a result, this approach suffers data censoring issues.</w:t>
      </w:r>
    </w:p>
    <w:p w:rsidR="0031076A" w:rsidRDefault="0031076A">
      <w:pPr>
        <w:rPr>
          <w:sz w:val="20"/>
        </w:rPr>
        <w:sectPr w:rsidR="0031076A">
          <w:pgSz w:w="12240" w:h="15840"/>
          <w:pgMar w:top="1500" w:right="1320" w:bottom="280" w:left="1320" w:header="720" w:footer="720" w:gutter="0"/>
          <w:cols w:space="720"/>
        </w:sectPr>
      </w:pPr>
    </w:p>
    <w:p w:rsidR="0031076A" w:rsidRDefault="0031076A">
      <w:pPr>
        <w:pStyle w:val="BodyText"/>
        <w:spacing w:before="8"/>
        <w:rPr>
          <w:sz w:val="11"/>
        </w:rPr>
      </w:pPr>
    </w:p>
    <w:p w:rsidR="0031076A" w:rsidRDefault="00935374">
      <w:pPr>
        <w:pStyle w:val="BodyText"/>
        <w:spacing w:before="77" w:line="480" w:lineRule="auto"/>
        <w:ind w:left="120" w:right="119"/>
        <w:jc w:val="both"/>
      </w:pPr>
      <w:proofErr w:type="gramStart"/>
      <w:r>
        <w:t>personnel</w:t>
      </w:r>
      <w:proofErr w:type="gramEnd"/>
      <w:r>
        <w:t xml:space="preserve">, we also analyze promotion to the rank of paygrade E5 (enlisted rank 5) and above as a robustness check. Promotion to this level comes with the Sergeant title and is </w:t>
      </w:r>
      <w:proofErr w:type="gramStart"/>
      <w:r>
        <w:t>considered  to</w:t>
      </w:r>
      <w:proofErr w:type="gramEnd"/>
      <w:r>
        <w:t xml:space="preserve"> be more meritorious than progression in the lower levels, which is a more standardized process for junior</w:t>
      </w:r>
      <w:r>
        <w:rPr>
          <w:spacing w:val="-4"/>
        </w:rPr>
        <w:t xml:space="preserve"> </w:t>
      </w:r>
      <w:r>
        <w:t>enlistees.</w:t>
      </w:r>
    </w:p>
    <w:p w:rsidR="0031076A" w:rsidRDefault="00935374">
      <w:pPr>
        <w:pStyle w:val="Heading2"/>
        <w:jc w:val="both"/>
        <w:rPr>
          <w:rFonts w:ascii="Garamond"/>
        </w:rPr>
      </w:pPr>
      <w:r>
        <w:rPr>
          <w:rFonts w:ascii="Garamond"/>
        </w:rPr>
        <w:t>DESCRIPTIVE STATISTICS</w:t>
      </w:r>
    </w:p>
    <w:p w:rsidR="0031076A" w:rsidRDefault="0031076A">
      <w:pPr>
        <w:pStyle w:val="BodyText"/>
        <w:rPr>
          <w:b/>
        </w:rPr>
      </w:pPr>
    </w:p>
    <w:p w:rsidR="0031076A" w:rsidRDefault="00935374">
      <w:pPr>
        <w:pStyle w:val="BodyText"/>
        <w:spacing w:line="480" w:lineRule="auto"/>
        <w:ind w:left="120" w:right="114" w:firstLine="719"/>
        <w:jc w:val="both"/>
      </w:pPr>
      <w:r>
        <w:t xml:space="preserve">Figure 1 presents basic descriptive information about our sample, comparing the distributions of those with felony waivers to those without. The black circles indicate the percentage and means of the sample of felony waivers, while the grey </w:t>
      </w:r>
      <w:proofErr w:type="gramStart"/>
      <w:r>
        <w:t>circle indicate</w:t>
      </w:r>
      <w:proofErr w:type="gramEnd"/>
      <w:r>
        <w:t xml:space="preserve"> those for the entire     non- felony waiver sample. Felony waivers comprise 4,862 cases out of 1,275,281, or about 0.4% of the valid sample. For comparison, those entering with waivers for misdemeanor-level offenses comprise a much smaller percentage, at only about one-third the size (0.14%). Waivers granted   for medical reasons comprise about 4.3% of the overall sample and dependency waivers represent </w:t>
      </w:r>
      <w:proofErr w:type="gramStart"/>
      <w:r>
        <w:t>fewer</w:t>
      </w:r>
      <w:proofErr w:type="gramEnd"/>
      <w:r>
        <w:t xml:space="preserve"> than 1% of enlistees during this</w:t>
      </w:r>
      <w:r>
        <w:rPr>
          <w:spacing w:val="7"/>
        </w:rPr>
        <w:t xml:space="preserve"> </w:t>
      </w:r>
      <w:r>
        <w:t>period.</w:t>
      </w:r>
    </w:p>
    <w:p w:rsidR="0031076A" w:rsidRDefault="00935374">
      <w:pPr>
        <w:pStyle w:val="BodyText"/>
        <w:ind w:left="3527" w:right="3732"/>
        <w:jc w:val="center"/>
      </w:pPr>
      <w:r>
        <w:t>[Figure 1 about here]</w:t>
      </w:r>
    </w:p>
    <w:p w:rsidR="0031076A" w:rsidRDefault="0031076A">
      <w:pPr>
        <w:pStyle w:val="BodyText"/>
      </w:pPr>
    </w:p>
    <w:p w:rsidR="0031076A" w:rsidRDefault="00935374">
      <w:pPr>
        <w:pStyle w:val="BodyText"/>
        <w:spacing w:line="477" w:lineRule="auto"/>
        <w:ind w:left="120" w:right="115" w:firstLine="719"/>
        <w:jc w:val="both"/>
      </w:pPr>
      <w:r>
        <w:t>Since the sample is very large, statistical significance will show up for most contrasts, even those that differ little in substantive magnitude.</w:t>
      </w:r>
      <w:r>
        <w:rPr>
          <w:position w:val="10"/>
          <w:sz w:val="14"/>
        </w:rPr>
        <w:t xml:space="preserve">12 </w:t>
      </w:r>
      <w:r>
        <w:t xml:space="preserve">There are, however, several notable </w:t>
      </w:r>
      <w:proofErr w:type="gramStart"/>
      <w:r>
        <w:t>contrasts  worth</w:t>
      </w:r>
      <w:proofErr w:type="gramEnd"/>
      <w:r>
        <w:t xml:space="preserve"> highlighting. First, we see considerable variation in the distribution of felony waivers across periods. We separately identify three distinct periods during which the context of military recruitment shifted in important ways: the pre-war period (2002), the war surge (2007 &amp; 2008),   and the Great Recession (2008 &amp; 2009). Note that these are non-exhaustive and partially overlapping periods; and yet each captures a distinct environment shaping the supply and demand for</w:t>
      </w:r>
      <w:r>
        <w:rPr>
          <w:spacing w:val="18"/>
        </w:rPr>
        <w:t xml:space="preserve"> </w:t>
      </w:r>
      <w:r>
        <w:t>military</w:t>
      </w:r>
    </w:p>
    <w:p w:rsidR="0031076A" w:rsidRDefault="0031076A">
      <w:pPr>
        <w:pStyle w:val="BodyText"/>
        <w:rPr>
          <w:sz w:val="20"/>
        </w:rPr>
      </w:pPr>
    </w:p>
    <w:p w:rsidR="0031076A" w:rsidRDefault="00E0098D">
      <w:pPr>
        <w:pStyle w:val="BodyText"/>
        <w:spacing w:before="5"/>
        <w:rPr>
          <w:sz w:val="13"/>
        </w:rPr>
      </w:pPr>
      <w:r>
        <w:rPr>
          <w:noProof/>
        </w:rPr>
        <mc:AlternateContent>
          <mc:Choice Requires="wps">
            <w:drawing>
              <wp:anchor distT="0" distB="0" distL="0" distR="0" simplePos="0" relativeHeight="251659776" behindDoc="0" locked="0" layoutInCell="1" allowOverlap="1">
                <wp:simplePos x="0" y="0"/>
                <wp:positionH relativeFrom="page">
                  <wp:posOffset>914400</wp:posOffset>
                </wp:positionH>
                <wp:positionV relativeFrom="paragraph">
                  <wp:posOffset>125730</wp:posOffset>
                </wp:positionV>
                <wp:extent cx="1829435" cy="0"/>
                <wp:effectExtent l="9525" t="11430" r="8890" b="7620"/>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9pt" to="216.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L8S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" strokeweight=".72pt">
                <w10:wrap type="topAndBottom" anchorx="page"/>
              </v:line>
            </w:pict>
          </mc:Fallback>
        </mc:AlternateContent>
      </w:r>
    </w:p>
    <w:p w:rsidR="0031076A" w:rsidRDefault="00935374">
      <w:pPr>
        <w:spacing w:before="47" w:line="247" w:lineRule="auto"/>
        <w:ind w:left="120" w:right="503"/>
        <w:rPr>
          <w:rFonts w:ascii="Calibri"/>
          <w:sz w:val="20"/>
        </w:rPr>
      </w:pPr>
      <w:r>
        <w:rPr>
          <w:rFonts w:ascii="Calibri"/>
          <w:position w:val="10"/>
          <w:sz w:val="14"/>
        </w:rPr>
        <w:t xml:space="preserve">12 </w:t>
      </w:r>
      <w:r>
        <w:rPr>
          <w:rFonts w:ascii="Calibri"/>
          <w:sz w:val="20"/>
        </w:rPr>
        <w:t>Detailed descriptive statistics and the results of two-sample t test and test of proportions are available upon request.</w:t>
      </w:r>
    </w:p>
    <w:p w:rsidR="0031076A" w:rsidRDefault="0031076A">
      <w:pPr>
        <w:spacing w:line="247" w:lineRule="auto"/>
        <w:rPr>
          <w:rFonts w:ascii="Calibri"/>
          <w:sz w:val="20"/>
        </w:rPr>
        <w:sectPr w:rsidR="0031076A">
          <w:pgSz w:w="12240" w:h="15840"/>
          <w:pgMar w:top="1500" w:right="1320" w:bottom="280" w:left="1320" w:header="720" w:footer="720" w:gutter="0"/>
          <w:cols w:space="720"/>
        </w:sectPr>
      </w:pPr>
    </w:p>
    <w:p w:rsidR="0031076A" w:rsidRDefault="0031076A">
      <w:pPr>
        <w:pStyle w:val="BodyText"/>
        <w:spacing w:before="9"/>
        <w:rPr>
          <w:rFonts w:ascii="Calibri"/>
          <w:sz w:val="10"/>
        </w:rPr>
      </w:pPr>
    </w:p>
    <w:p w:rsidR="0031076A" w:rsidRDefault="00935374">
      <w:pPr>
        <w:pStyle w:val="BodyText"/>
        <w:spacing w:before="77" w:line="480" w:lineRule="auto"/>
        <w:ind w:left="120" w:right="115"/>
        <w:jc w:val="both"/>
      </w:pPr>
      <w:proofErr w:type="gramStart"/>
      <w:r>
        <w:t>service</w:t>
      </w:r>
      <w:proofErr w:type="gramEnd"/>
      <w:r>
        <w:t xml:space="preserve">. For example, during the Great Recession of 2008 &amp; 2009 (reaching the end of our data series),  we  see  far  lower  rates  of  entry  for  those  with  felony  waivers  relative  to  their non-waiver counterparts (with only 6% of our felony  waiver sample enlisting during this     period). The severe contraction of the civilian economy during this time likely resulted in a rapid increase in supply of qualified recruits, leading to more selectivity in the use of waivers. By    contrast, the “surge” of 2007 &amp; 2008 generated escalating demand for new recruits, with the  fraction of felony waivers jumping considerably during this time (roughly a quarter of both our felony waiver and non-waiver sample members were recruited  during  this  period).  </w:t>
      </w:r>
      <w:proofErr w:type="gramStart"/>
      <w:r>
        <w:t>The  ability</w:t>
      </w:r>
      <w:proofErr w:type="gramEnd"/>
      <w:r>
        <w:t xml:space="preserve">  to  analyze  the  performance  of  those recruited under such differing conditions allows us to test  the robustness of our conclusions to  </w:t>
      </w:r>
      <w:r>
        <w:rPr>
          <w:spacing w:val="19"/>
        </w:rPr>
        <w:t xml:space="preserve"> </w:t>
      </w:r>
      <w:r>
        <w:t>a range of screening intensity.</w:t>
      </w:r>
    </w:p>
    <w:p w:rsidR="0031076A" w:rsidRDefault="00935374">
      <w:pPr>
        <w:pStyle w:val="BodyText"/>
        <w:spacing w:line="477" w:lineRule="auto"/>
        <w:ind w:left="120" w:right="114" w:firstLine="719"/>
        <w:jc w:val="both"/>
        <w:rPr>
          <w:sz w:val="14"/>
        </w:rPr>
      </w:pPr>
      <w:r>
        <w:t xml:space="preserve">Second, we see important differences in the distribution of felony waivers across branches of military service. The Army is the largest branch, comprising about 40% of our sample overall, but, even </w:t>
      </w:r>
      <w:proofErr w:type="gramStart"/>
      <w:r>
        <w:t>so,</w:t>
      </w:r>
      <w:proofErr w:type="gramEnd"/>
      <w:r>
        <w:t xml:space="preserve"> it waives a disproportionately high percentage of felony offenders relative to the other branches. Ninety percent of those with felony-level waivers in our sample are Army personnel. The largest and least specialized of the military branches, the Army has the least </w:t>
      </w:r>
      <w:proofErr w:type="gramStart"/>
      <w:r>
        <w:t>selective  recruitment</w:t>
      </w:r>
      <w:proofErr w:type="gramEnd"/>
      <w:r>
        <w:t xml:space="preserve"> standard criteria in terms of education and test</w:t>
      </w:r>
      <w:r>
        <w:rPr>
          <w:spacing w:val="-26"/>
        </w:rPr>
        <w:t xml:space="preserve"> </w:t>
      </w:r>
      <w:r>
        <w:t>scores.</w:t>
      </w:r>
      <w:r>
        <w:rPr>
          <w:position w:val="10"/>
          <w:sz w:val="14"/>
        </w:rPr>
        <w:t>13</w:t>
      </w:r>
    </w:p>
    <w:p w:rsidR="0031076A" w:rsidRDefault="00935374">
      <w:pPr>
        <w:pStyle w:val="BodyText"/>
        <w:spacing w:line="480" w:lineRule="auto"/>
        <w:ind w:left="120" w:right="113" w:firstLine="719"/>
        <w:jc w:val="both"/>
      </w:pPr>
      <w:r>
        <w:t xml:space="preserve">A  third  important  contrast  between  our  felony  waiver  and  non-waiver  enlistees concerns their educational  distributions.  Roughly  10%  of  enlistees  have  only  a  GED;  among our  felony waiver  sample  this  fraction  is  roughly  twice  as  large  (22%).  </w:t>
      </w:r>
      <w:proofErr w:type="gramStart"/>
      <w:r>
        <w:t>Some  of</w:t>
      </w:r>
      <w:proofErr w:type="gramEnd"/>
      <w:r>
        <w:t xml:space="preserve">  this difference may be structural, with some ex-offenders  completing  their  degrees  while  incarcerated (Heckman &amp; </w:t>
      </w:r>
      <w:proofErr w:type="spellStart"/>
      <w:r>
        <w:t>LaFontaine</w:t>
      </w:r>
      <w:proofErr w:type="spellEnd"/>
      <w:r>
        <w:t xml:space="preserve">  2007).  </w:t>
      </w:r>
      <w:proofErr w:type="gramStart"/>
      <w:r>
        <w:t>Whatever  the</w:t>
      </w:r>
      <w:proofErr w:type="gramEnd"/>
      <w:r>
        <w:t xml:space="preserve">  case,  GEDs  are  associated  with poorer  performance  relative</w:t>
      </w:r>
      <w:r>
        <w:rPr>
          <w:spacing w:val="-13"/>
        </w:rPr>
        <w:t xml:space="preserve"> </w:t>
      </w:r>
      <w:r>
        <w:t>to</w:t>
      </w:r>
    </w:p>
    <w:p w:rsidR="0031076A" w:rsidRDefault="00E0098D">
      <w:pPr>
        <w:pStyle w:val="BodyText"/>
        <w:spacing w:before="10"/>
        <w:rPr>
          <w:sz w:val="14"/>
        </w:rPr>
      </w:pPr>
      <w:r>
        <w:rPr>
          <w:noProof/>
        </w:rPr>
        <mc:AlternateContent>
          <mc:Choice Requires="wps">
            <w:drawing>
              <wp:anchor distT="0" distB="0" distL="0" distR="0" simplePos="0" relativeHeight="251660800" behindDoc="0" locked="0" layoutInCell="1" allowOverlap="1">
                <wp:simplePos x="0" y="0"/>
                <wp:positionH relativeFrom="page">
                  <wp:posOffset>914400</wp:posOffset>
                </wp:positionH>
                <wp:positionV relativeFrom="paragraph">
                  <wp:posOffset>135890</wp:posOffset>
                </wp:positionV>
                <wp:extent cx="1829435" cy="0"/>
                <wp:effectExtent l="9525" t="12065" r="8890" b="6985"/>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7pt" to="216.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j/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" strokeweight=".72pt">
                <w10:wrap type="topAndBottom" anchorx="page"/>
              </v:line>
            </w:pict>
          </mc:Fallback>
        </mc:AlternateContent>
      </w:r>
    </w:p>
    <w:p w:rsidR="0031076A" w:rsidRDefault="00935374">
      <w:pPr>
        <w:spacing w:before="47" w:line="244" w:lineRule="auto"/>
        <w:ind w:left="120" w:right="205"/>
        <w:rPr>
          <w:sz w:val="20"/>
        </w:rPr>
      </w:pPr>
      <w:r>
        <w:rPr>
          <w:rFonts w:ascii="Calibri"/>
          <w:position w:val="10"/>
          <w:sz w:val="14"/>
        </w:rPr>
        <w:t xml:space="preserve">13 </w:t>
      </w:r>
      <w:r>
        <w:rPr>
          <w:sz w:val="20"/>
        </w:rPr>
        <w:t>Given the lower overall selectivity in this branch, we expect that our results will represent conservative effects of felony waivers relative to those we might observe under more selective conditions. Likewise, these results better align with the less specialized occupations to which ex-offenders typically apply.</w:t>
      </w:r>
    </w:p>
    <w:p w:rsidR="0031076A" w:rsidRDefault="0031076A">
      <w:pPr>
        <w:spacing w:line="244" w:lineRule="auto"/>
        <w:rPr>
          <w:sz w:val="20"/>
        </w:rPr>
        <w:sectPr w:rsidR="0031076A">
          <w:pgSz w:w="12240" w:h="15840"/>
          <w:pgMar w:top="1500" w:right="1320" w:bottom="280" w:left="1320" w:header="720" w:footer="720" w:gutter="0"/>
          <w:cols w:space="720"/>
        </w:sectPr>
      </w:pPr>
    </w:p>
    <w:p w:rsidR="0031076A" w:rsidRDefault="0031076A">
      <w:pPr>
        <w:pStyle w:val="BodyText"/>
        <w:spacing w:before="8"/>
        <w:rPr>
          <w:sz w:val="11"/>
        </w:rPr>
      </w:pPr>
    </w:p>
    <w:p w:rsidR="0031076A" w:rsidRDefault="00935374">
      <w:pPr>
        <w:pStyle w:val="BodyText"/>
        <w:spacing w:before="77" w:line="477" w:lineRule="auto"/>
        <w:ind w:left="120" w:right="116"/>
        <w:jc w:val="both"/>
      </w:pPr>
      <w:proofErr w:type="gramStart"/>
      <w:r>
        <w:t>those</w:t>
      </w:r>
      <w:proofErr w:type="gramEnd"/>
      <w:r>
        <w:t xml:space="preserve"> with high school diplomas (Heckman et al. 2014), a factor which may contribute to performance differences between those with and without felony waivers. At the same time, those with felony waivers are not uniformly at the bottom of the educational distribution. In fact, in our top educational category “some college,” those with felony waivers are more than twice as likely to be represented relative to the general population (10% vs 4%).</w:t>
      </w:r>
      <w:r>
        <w:rPr>
          <w:position w:val="10"/>
          <w:sz w:val="14"/>
        </w:rPr>
        <w:t xml:space="preserve">14 </w:t>
      </w:r>
      <w:r>
        <w:t>This may represent evidence of the “whole person” criteria, by which waivers are granted on the basis of compelling information to offset otherwise disqualifying characteristics.</w:t>
      </w:r>
    </w:p>
    <w:p w:rsidR="0031076A" w:rsidRDefault="00935374">
      <w:pPr>
        <w:pStyle w:val="BodyText"/>
        <w:spacing w:before="2" w:line="480" w:lineRule="auto"/>
        <w:ind w:left="120" w:right="118" w:firstLine="719"/>
        <w:jc w:val="both"/>
      </w:pPr>
      <w:r>
        <w:t xml:space="preserve">Consistent with expectations, those with felony waivers are less likely to be female (7 vs 16%); more likely to be older at enlistment (22 vs 20 </w:t>
      </w:r>
      <w:proofErr w:type="spellStart"/>
      <w:r>
        <w:t>yrs</w:t>
      </w:r>
      <w:proofErr w:type="spellEnd"/>
      <w:r>
        <w:t>); and more likely to be U.S. citizens (98 vs 96%). Other demographics of felony waiver holders do not mirror the prison population, however. At the aggregate level, white enlistees fall disproportionately into the felony waiver category, relative to their population size in the military, while Blacks and other ethnic minority groups are less likely to be admitted with a felony waiver. This is surprising, as African Americans are far more likely to have  a  felony-level  criminal  record  than  whites  in  the  general  population  (</w:t>
      </w:r>
      <w:proofErr w:type="spellStart"/>
      <w:r>
        <w:t>Uggen</w:t>
      </w:r>
      <w:proofErr w:type="spellEnd"/>
      <w:r>
        <w:t xml:space="preserve">  et  al. 2012). Unfortunately,  we  do  not  have  data  for  rejected  applications  with  which  to  assess whether these patterns match the racial distribution of the applicant pool and/or to what degree race shapes the waiver and selection</w:t>
      </w:r>
      <w:r>
        <w:rPr>
          <w:spacing w:val="21"/>
        </w:rPr>
        <w:t xml:space="preserve"> </w:t>
      </w:r>
      <w:r>
        <w:t>process.</w:t>
      </w:r>
    </w:p>
    <w:p w:rsidR="0031076A" w:rsidRDefault="0031076A">
      <w:pPr>
        <w:pStyle w:val="BodyText"/>
      </w:pPr>
    </w:p>
    <w:p w:rsidR="0031076A" w:rsidRDefault="0031076A">
      <w:pPr>
        <w:pStyle w:val="BodyText"/>
        <w:spacing w:before="8"/>
        <w:rPr>
          <w:sz w:val="23"/>
        </w:rPr>
      </w:pPr>
    </w:p>
    <w:p w:rsidR="0031076A" w:rsidRDefault="00935374">
      <w:pPr>
        <w:pStyle w:val="Heading2"/>
        <w:spacing w:before="1"/>
        <w:jc w:val="both"/>
        <w:rPr>
          <w:rFonts w:ascii="Garamond"/>
        </w:rPr>
      </w:pPr>
      <w:r>
        <w:rPr>
          <w:rFonts w:ascii="Garamond"/>
        </w:rPr>
        <w:t>ANALYSES</w:t>
      </w:r>
    </w:p>
    <w:p w:rsidR="0031076A" w:rsidRDefault="0031076A">
      <w:pPr>
        <w:pStyle w:val="BodyText"/>
        <w:spacing w:before="3"/>
        <w:rPr>
          <w:b/>
          <w:sz w:val="23"/>
        </w:rPr>
      </w:pPr>
    </w:p>
    <w:p w:rsidR="0031076A" w:rsidRDefault="00935374">
      <w:pPr>
        <w:pStyle w:val="ListParagraph"/>
        <w:numPr>
          <w:ilvl w:val="0"/>
          <w:numId w:val="1"/>
        </w:numPr>
        <w:tabs>
          <w:tab w:val="left" w:pos="841"/>
        </w:tabs>
        <w:jc w:val="both"/>
        <w:rPr>
          <w:b/>
          <w:sz w:val="25"/>
        </w:rPr>
      </w:pPr>
      <w:r>
        <w:rPr>
          <w:b/>
          <w:w w:val="95"/>
          <w:sz w:val="25"/>
        </w:rPr>
        <w:t>Predicting Early</w:t>
      </w:r>
      <w:r>
        <w:rPr>
          <w:b/>
          <w:spacing w:val="16"/>
          <w:w w:val="95"/>
          <w:sz w:val="25"/>
        </w:rPr>
        <w:t xml:space="preserve"> </w:t>
      </w:r>
      <w:r>
        <w:rPr>
          <w:b/>
          <w:w w:val="95"/>
          <w:sz w:val="25"/>
        </w:rPr>
        <w:t>Termination</w:t>
      </w:r>
    </w:p>
    <w:p w:rsidR="0031076A" w:rsidRDefault="0031076A">
      <w:pPr>
        <w:pStyle w:val="BodyText"/>
        <w:spacing w:before="8"/>
        <w:rPr>
          <w:b/>
          <w:sz w:val="23"/>
        </w:rPr>
      </w:pPr>
    </w:p>
    <w:p w:rsidR="0031076A" w:rsidRDefault="00E0098D">
      <w:pPr>
        <w:pStyle w:val="BodyText"/>
        <w:spacing w:line="480" w:lineRule="auto"/>
        <w:ind w:left="120" w:right="115" w:firstLine="719"/>
        <w:jc w:val="both"/>
      </w:pPr>
      <w:r>
        <w:rPr>
          <w:noProof/>
        </w:rPr>
        <mc:AlternateContent>
          <mc:Choice Requires="wps">
            <w:drawing>
              <wp:anchor distT="0" distB="0" distL="0" distR="0" simplePos="0" relativeHeight="251661824" behindDoc="0" locked="0" layoutInCell="1" allowOverlap="1">
                <wp:simplePos x="0" y="0"/>
                <wp:positionH relativeFrom="page">
                  <wp:posOffset>914400</wp:posOffset>
                </wp:positionH>
                <wp:positionV relativeFrom="paragraph">
                  <wp:posOffset>767080</wp:posOffset>
                </wp:positionV>
                <wp:extent cx="1829435" cy="0"/>
                <wp:effectExtent l="9525" t="5080" r="8890" b="13970"/>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60.4pt" to="216.05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X7c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" strokeweight=".72pt">
                <w10:wrap type="topAndBottom" anchorx="page"/>
              </v:line>
            </w:pict>
          </mc:Fallback>
        </mc:AlternateContent>
      </w:r>
      <w:r w:rsidR="00935374">
        <w:t xml:space="preserve">The military, like many civilian employers, invests significant resources in the </w:t>
      </w:r>
      <w:proofErr w:type="gramStart"/>
      <w:r w:rsidR="00935374">
        <w:t>recruitment  and</w:t>
      </w:r>
      <w:proofErr w:type="gramEnd"/>
      <w:r w:rsidR="00935374">
        <w:t xml:space="preserve">  training  of  its  workforce.  </w:t>
      </w:r>
      <w:proofErr w:type="gramStart"/>
      <w:r w:rsidR="00935374">
        <w:t>For  this</w:t>
      </w:r>
      <w:proofErr w:type="gramEnd"/>
      <w:r w:rsidR="00935374">
        <w:t xml:space="preserve">  reason,  early  termination--  </w:t>
      </w:r>
      <w:proofErr w:type="spellStart"/>
      <w:r w:rsidR="00935374">
        <w:t>termination</w:t>
      </w:r>
      <w:proofErr w:type="spellEnd"/>
      <w:r w:rsidR="00935374">
        <w:t xml:space="preserve">  prior  to   the</w:t>
      </w:r>
    </w:p>
    <w:p w:rsidR="0031076A" w:rsidRDefault="00935374">
      <w:pPr>
        <w:spacing w:before="44"/>
        <w:ind w:left="120" w:right="205"/>
        <w:rPr>
          <w:sz w:val="20"/>
        </w:rPr>
      </w:pPr>
      <w:r>
        <w:rPr>
          <w:rFonts w:ascii="Calibri"/>
          <w:position w:val="10"/>
          <w:sz w:val="14"/>
        </w:rPr>
        <w:t xml:space="preserve">14 </w:t>
      </w:r>
      <w:r>
        <w:rPr>
          <w:sz w:val="20"/>
        </w:rPr>
        <w:t>Recruits with a college degree generally enter the military as officers.</w:t>
      </w:r>
    </w:p>
    <w:p w:rsidR="0031076A" w:rsidRDefault="0031076A">
      <w:pPr>
        <w:rPr>
          <w:sz w:val="20"/>
        </w:rPr>
        <w:sectPr w:rsidR="0031076A">
          <w:pgSz w:w="12240" w:h="15840"/>
          <w:pgMar w:top="1500" w:right="1320" w:bottom="280" w:left="1320" w:header="720" w:footer="720" w:gutter="0"/>
          <w:cols w:space="720"/>
        </w:sectPr>
      </w:pPr>
    </w:p>
    <w:p w:rsidR="0031076A" w:rsidRDefault="0031076A">
      <w:pPr>
        <w:pStyle w:val="BodyText"/>
        <w:spacing w:before="8"/>
        <w:rPr>
          <w:sz w:val="11"/>
        </w:rPr>
      </w:pPr>
    </w:p>
    <w:p w:rsidR="0031076A" w:rsidRDefault="00935374">
      <w:pPr>
        <w:pStyle w:val="BodyText"/>
        <w:spacing w:before="77" w:line="480" w:lineRule="auto"/>
        <w:ind w:left="100" w:right="117"/>
        <w:jc w:val="both"/>
      </w:pPr>
      <w:proofErr w:type="gramStart"/>
      <w:r>
        <w:t>completion</w:t>
      </w:r>
      <w:proofErr w:type="gramEnd"/>
      <w:r>
        <w:t xml:space="preserve"> of service-- is  costly  and  disruptive.  </w:t>
      </w:r>
      <w:proofErr w:type="gramStart"/>
      <w:r>
        <w:t>In  the</w:t>
      </w:r>
      <w:proofErr w:type="gramEnd"/>
      <w:r>
        <w:t xml:space="preserve">  following  analysis,  we  examine whether individuals with felony waivers are more likely to experience early termination relative to their non- waiver counterparts.</w:t>
      </w:r>
    </w:p>
    <w:p w:rsidR="0031076A" w:rsidRDefault="00935374">
      <w:pPr>
        <w:pStyle w:val="BodyText"/>
        <w:spacing w:line="480" w:lineRule="auto"/>
        <w:ind w:left="100" w:right="114" w:firstLine="719"/>
        <w:jc w:val="both"/>
      </w:pPr>
      <w:r>
        <w:t>Table 1 presents descriptive information concerning the status of service by waiver status. This indicator categorizes individuals as currently serving (never separated), having successfully completed an initial term of service and left (completed), or having left their term of duty prior to its completion (early separation). Successful term completions are similar between felony waivers and the full sample (16.8% overall), and roughly half of both groups were still in the service as of the sample end date. But early terminations appear higher among felony waivers (35%) than for the full sample (30%). Moreover, at the aggregate level, a higher proportion of felony waivers appear to separate for health reasons and slightly more for poor performance or misconduct. On this latter dimension, then, there may be reason to be concerned about the performance and      commitment- level of those with criminal</w:t>
      </w:r>
      <w:r>
        <w:rPr>
          <w:spacing w:val="-9"/>
        </w:rPr>
        <w:t xml:space="preserve"> </w:t>
      </w:r>
      <w:r>
        <w:t>records.</w:t>
      </w:r>
    </w:p>
    <w:p w:rsidR="0031076A" w:rsidRDefault="00935374">
      <w:pPr>
        <w:pStyle w:val="BodyText"/>
        <w:ind w:left="3548" w:right="2844"/>
        <w:jc w:val="center"/>
      </w:pPr>
      <w:r>
        <w:t>[Table 1 about here]</w:t>
      </w:r>
    </w:p>
    <w:p w:rsidR="0031076A" w:rsidRDefault="0031076A">
      <w:pPr>
        <w:pStyle w:val="BodyText"/>
      </w:pPr>
    </w:p>
    <w:p w:rsidR="0031076A" w:rsidRDefault="00935374">
      <w:pPr>
        <w:pStyle w:val="BodyText"/>
        <w:spacing w:line="480" w:lineRule="auto"/>
        <w:ind w:left="100" w:right="119" w:firstLine="719"/>
        <w:jc w:val="both"/>
      </w:pPr>
      <w:r>
        <w:t xml:space="preserve">Table 1 does not control for other factors that may differentiate these two categories of enlistees, such as education or period of enlistment. We turn to a multivariate framework that allows us to take a broader set of factors into account. In this analysis, we combine the top two rows in Table 1 (successful completion and ongoing service) and focus on early separation as the key outcome of interest. We then perform a logistic regression predicting early termination as a function of felony waiver status and a host of other background and service characteristics (Appendix 1). As a check on robustness, we repeat this exercise with regressions run separately by period of enlistment (full models available upon request). The first panel of Figure 2 (“all causes”) presents the effect of a felony waiver on early termination, expressed as an odds ratio. Values over 1 indicate </w:t>
      </w:r>
      <w:proofErr w:type="gramStart"/>
      <w:r>
        <w:t>a higher   odds</w:t>
      </w:r>
      <w:proofErr w:type="gramEnd"/>
    </w:p>
    <w:p w:rsidR="0031076A" w:rsidRDefault="0031076A">
      <w:pPr>
        <w:spacing w:line="480" w:lineRule="auto"/>
        <w:jc w:val="both"/>
        <w:sectPr w:rsidR="0031076A">
          <w:pgSz w:w="12240" w:h="15840"/>
          <w:pgMar w:top="1500" w:right="1320" w:bottom="280" w:left="1340" w:header="720" w:footer="720" w:gutter="0"/>
          <w:cols w:space="720"/>
        </w:sectPr>
      </w:pPr>
    </w:p>
    <w:p w:rsidR="0031076A" w:rsidRDefault="0031076A">
      <w:pPr>
        <w:pStyle w:val="BodyText"/>
        <w:spacing w:before="8"/>
        <w:rPr>
          <w:sz w:val="11"/>
        </w:rPr>
      </w:pPr>
    </w:p>
    <w:p w:rsidR="0031076A" w:rsidRDefault="00935374">
      <w:pPr>
        <w:pStyle w:val="BodyText"/>
        <w:spacing w:before="77" w:line="480" w:lineRule="auto"/>
        <w:ind w:left="100" w:right="113"/>
        <w:jc w:val="both"/>
      </w:pPr>
      <w:proofErr w:type="gramStart"/>
      <w:r>
        <w:t>of</w:t>
      </w:r>
      <w:proofErr w:type="gramEnd"/>
      <w:r>
        <w:t xml:space="preserve"> early termination relative to those without waivers; values under 1 indicate lower odds. The circle at the top of the first panel represents the point estimate for all time periods combined. Confidence intervals (95%) are indicated by lines on either side of the point estimate. Here we see that the odds of early termination are virtually identical for those with felony waivers relative to those without (OR=.96, ns). The remaining three point estimates, representing distinct periods of enlistment, show very similar patterns. Even under highly differing regimes of selectivity, then, we see little evidence that those with felony waivers are more prone to desertion or expulsion than their non-waiver</w:t>
      </w:r>
      <w:r>
        <w:rPr>
          <w:spacing w:val="-4"/>
        </w:rPr>
        <w:t xml:space="preserve"> </w:t>
      </w:r>
      <w:r>
        <w:t>counterparts.</w:t>
      </w:r>
    </w:p>
    <w:p w:rsidR="0031076A" w:rsidRDefault="00935374">
      <w:pPr>
        <w:pStyle w:val="BodyText"/>
        <w:spacing w:line="480" w:lineRule="auto"/>
        <w:ind w:left="100" w:right="117" w:firstLine="719"/>
        <w:jc w:val="both"/>
      </w:pPr>
      <w:r>
        <w:t>Although our focus is on the felony waiver effect of separation probability, we briefly note a few other significant predictors of early separation from the first column of Appendix 1. Entrants with misdemeanor waivers are no more likely to separate early either, while those with medical waivers are more likely to separate early and those with dependent waivers are less likely to do so. Early separation is also associated with military service in the Army compared to other branches. Men, foreign-born enlistees, and most ethnic minorities are less likely than whites to separate early.</w:t>
      </w:r>
    </w:p>
    <w:p w:rsidR="0031076A" w:rsidRDefault="00935374">
      <w:pPr>
        <w:pStyle w:val="BodyText"/>
        <w:ind w:left="3548" w:right="2850"/>
        <w:jc w:val="center"/>
      </w:pPr>
      <w:r>
        <w:t>[Figure 2 about here]</w:t>
      </w:r>
    </w:p>
    <w:p w:rsidR="0031076A" w:rsidRDefault="0031076A">
      <w:pPr>
        <w:pStyle w:val="BodyText"/>
      </w:pPr>
    </w:p>
    <w:p w:rsidR="0031076A" w:rsidRDefault="0031076A">
      <w:pPr>
        <w:pStyle w:val="BodyText"/>
      </w:pPr>
    </w:p>
    <w:p w:rsidR="0031076A" w:rsidRDefault="0031076A">
      <w:pPr>
        <w:pStyle w:val="BodyText"/>
        <w:rPr>
          <w:sz w:val="23"/>
        </w:rPr>
      </w:pPr>
    </w:p>
    <w:p w:rsidR="0031076A" w:rsidRDefault="00935374">
      <w:pPr>
        <w:pStyle w:val="Heading1"/>
        <w:numPr>
          <w:ilvl w:val="0"/>
          <w:numId w:val="1"/>
        </w:numPr>
        <w:tabs>
          <w:tab w:val="left" w:pos="821"/>
        </w:tabs>
        <w:ind w:left="820"/>
        <w:jc w:val="both"/>
      </w:pPr>
      <w:r>
        <w:rPr>
          <w:w w:val="95"/>
        </w:rPr>
        <w:t>Examining the Causes of Early</w:t>
      </w:r>
      <w:r>
        <w:rPr>
          <w:spacing w:val="30"/>
          <w:w w:val="95"/>
        </w:rPr>
        <w:t xml:space="preserve"> </w:t>
      </w:r>
      <w:r>
        <w:rPr>
          <w:w w:val="95"/>
        </w:rPr>
        <w:t>Separation</w:t>
      </w:r>
    </w:p>
    <w:p w:rsidR="0031076A" w:rsidRDefault="0031076A">
      <w:pPr>
        <w:pStyle w:val="BodyText"/>
        <w:spacing w:before="8"/>
        <w:rPr>
          <w:b/>
          <w:sz w:val="23"/>
        </w:rPr>
      </w:pPr>
    </w:p>
    <w:p w:rsidR="0031076A" w:rsidRDefault="00935374">
      <w:pPr>
        <w:pStyle w:val="BodyText"/>
        <w:spacing w:line="480" w:lineRule="auto"/>
        <w:ind w:left="100" w:right="113" w:firstLine="719"/>
        <w:jc w:val="both"/>
      </w:pPr>
      <w:r>
        <w:t xml:space="preserve">The remaining three panels in Figure 2 disaggregate those who separate early into three specific types: “poor performance or misconduct” refers to termination caused by disciplinary infractions, criminal acts, and poor behavior; “health” refers to termination caused by health conditions and disability that prevent continued service; and “death” refers to the loss of life </w:t>
      </w:r>
      <w:proofErr w:type="gramStart"/>
      <w:r>
        <w:t>while  in</w:t>
      </w:r>
      <w:proofErr w:type="gramEnd"/>
      <w:r>
        <w:t xml:space="preserve"> service of the military. Estimates from the full model can be found in Appendix</w:t>
      </w:r>
      <w:r>
        <w:rPr>
          <w:spacing w:val="-29"/>
        </w:rPr>
        <w:t xml:space="preserve"> </w:t>
      </w:r>
      <w:r>
        <w:t>1.</w:t>
      </w:r>
    </w:p>
    <w:p w:rsidR="0031076A" w:rsidRDefault="0031076A">
      <w:pPr>
        <w:spacing w:line="480" w:lineRule="auto"/>
        <w:jc w:val="both"/>
        <w:sectPr w:rsidR="0031076A">
          <w:pgSz w:w="12240" w:h="15840"/>
          <w:pgMar w:top="1500" w:right="1320" w:bottom="280" w:left="1340" w:header="720" w:footer="720" w:gutter="0"/>
          <w:cols w:space="720"/>
        </w:sectPr>
      </w:pPr>
    </w:p>
    <w:p w:rsidR="0031076A" w:rsidRDefault="0031076A">
      <w:pPr>
        <w:pStyle w:val="BodyText"/>
        <w:spacing w:before="8"/>
        <w:rPr>
          <w:sz w:val="11"/>
        </w:rPr>
      </w:pPr>
    </w:p>
    <w:p w:rsidR="0031076A" w:rsidRDefault="00935374">
      <w:pPr>
        <w:pStyle w:val="BodyText"/>
        <w:spacing w:before="77" w:line="480" w:lineRule="auto"/>
        <w:ind w:left="120" w:right="114" w:firstLine="719"/>
        <w:jc w:val="both"/>
      </w:pPr>
      <w:r>
        <w:t xml:space="preserve">The results in panel 2 suggest that those with felony pasts are no more likely to terminate for </w:t>
      </w:r>
      <w:proofErr w:type="gramStart"/>
      <w:r>
        <w:t>conduct  reasons</w:t>
      </w:r>
      <w:proofErr w:type="gramEnd"/>
      <w:r>
        <w:t xml:space="preserve">  than  their  non-waiver  counterparts.  In  the  full  sample  with  all  time periods combined, we see an odds ratio very close to one (1.1, </w:t>
      </w:r>
      <w:proofErr w:type="spellStart"/>
      <w:r>
        <w:t>n.s</w:t>
      </w:r>
      <w:proofErr w:type="spellEnd"/>
      <w:r>
        <w:t>.), suggesting no difference between those with and  without  felony  waivers  in  the  odds  of  termination  for  cause.  And while confidence intervals vary  as  a  function  of  sample  size  in  each  period,  the period-specific  point  estimates consistently show little difference in the performance of those with felony</w:t>
      </w:r>
      <w:r>
        <w:rPr>
          <w:spacing w:val="-7"/>
        </w:rPr>
        <w:t xml:space="preserve"> </w:t>
      </w:r>
      <w:r>
        <w:t>waivers.</w:t>
      </w:r>
    </w:p>
    <w:p w:rsidR="0031076A" w:rsidRDefault="00935374">
      <w:pPr>
        <w:pStyle w:val="BodyText"/>
        <w:spacing w:line="477" w:lineRule="auto"/>
        <w:ind w:left="120" w:right="114" w:firstLine="719"/>
        <w:jc w:val="both"/>
      </w:pPr>
      <w:r>
        <w:t>Similarly, those with felony waivers are no more likely to terminate for health reasons; in fact we see some modest evidence that, during the surge, those with felony waivers were actually less likely to leave for health reasons.</w:t>
      </w:r>
      <w:r>
        <w:rPr>
          <w:position w:val="10"/>
          <w:sz w:val="14"/>
        </w:rPr>
        <w:t xml:space="preserve">15 </w:t>
      </w:r>
      <w:r>
        <w:t>The one category of early termination for which we do see elevated risks among those with felony waivers is in their higher risk of dying. In the full sample, those with felony waivers are one and a half times more likely to lose their life in the course of service relative to those without waivers. Point estimates across periods present largely consistent results.</w:t>
      </w:r>
      <w:r>
        <w:rPr>
          <w:position w:val="10"/>
          <w:sz w:val="14"/>
        </w:rPr>
        <w:t xml:space="preserve">16 </w:t>
      </w:r>
      <w:proofErr w:type="gramStart"/>
      <w:r>
        <w:t>As</w:t>
      </w:r>
      <w:proofErr w:type="gramEnd"/>
      <w:r>
        <w:t xml:space="preserve"> an attempt to investigate this disparity further, we analyzed combat- and non-combat- related deaths separately, finding a larger percentage of felony waivers in both categories. We cannot, therefore, definitively attribute this differential to a </w:t>
      </w:r>
      <w:proofErr w:type="gramStart"/>
      <w:r>
        <w:t>higher  rate</w:t>
      </w:r>
      <w:proofErr w:type="gramEnd"/>
      <w:r>
        <w:t xml:space="preserve">  of combat duty assigned to those with waivers. Future research with larger samples, measures of occupation (e.g., infantry vs clerical), and exposure to combat would be helpful in disentangling this relationship.</w:t>
      </w:r>
    </w:p>
    <w:p w:rsidR="0031076A" w:rsidRDefault="00935374">
      <w:pPr>
        <w:pStyle w:val="BodyText"/>
        <w:spacing w:before="2" w:line="480" w:lineRule="auto"/>
        <w:ind w:left="120" w:right="115" w:firstLine="719"/>
        <w:jc w:val="both"/>
      </w:pPr>
      <w:r>
        <w:t>Overall, then, we see no evidence that individuals with serious criminal records show elevated levels of early termination. And when we look specifically at termination for cause -- poor performance, misconduct, or criminal activity -- those with felony waivers look indistinguishable</w:t>
      </w:r>
    </w:p>
    <w:p w:rsidR="0031076A" w:rsidRDefault="0031076A">
      <w:pPr>
        <w:pStyle w:val="BodyText"/>
        <w:rPr>
          <w:sz w:val="20"/>
        </w:rPr>
      </w:pPr>
    </w:p>
    <w:p w:rsidR="0031076A" w:rsidRDefault="0031076A">
      <w:pPr>
        <w:pStyle w:val="BodyText"/>
        <w:rPr>
          <w:sz w:val="20"/>
        </w:rPr>
      </w:pPr>
    </w:p>
    <w:p w:rsidR="0031076A" w:rsidRDefault="00E0098D">
      <w:pPr>
        <w:pStyle w:val="BodyText"/>
        <w:rPr>
          <w:sz w:val="19"/>
        </w:rPr>
      </w:pPr>
      <w:r>
        <w:rPr>
          <w:noProof/>
        </w:rPr>
        <mc:AlternateContent>
          <mc:Choice Requires="wps">
            <w:drawing>
              <wp:anchor distT="0" distB="0" distL="0" distR="0" simplePos="0" relativeHeight="251662848" behindDoc="0" locked="0" layoutInCell="1" allowOverlap="1">
                <wp:simplePos x="0" y="0"/>
                <wp:positionH relativeFrom="page">
                  <wp:posOffset>914400</wp:posOffset>
                </wp:positionH>
                <wp:positionV relativeFrom="paragraph">
                  <wp:posOffset>165735</wp:posOffset>
                </wp:positionV>
                <wp:extent cx="1829435" cy="0"/>
                <wp:effectExtent l="9525" t="13335" r="8890" b="571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05pt" to="216.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Hkx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" strokeweight=".72pt">
                <w10:wrap type="topAndBottom" anchorx="page"/>
              </v:line>
            </w:pict>
          </mc:Fallback>
        </mc:AlternateContent>
      </w:r>
    </w:p>
    <w:p w:rsidR="0031076A" w:rsidRDefault="00935374">
      <w:pPr>
        <w:spacing w:before="47" w:line="278" w:lineRule="exact"/>
        <w:ind w:left="120" w:right="205"/>
        <w:rPr>
          <w:rFonts w:ascii="Calibri"/>
          <w:sz w:val="20"/>
        </w:rPr>
      </w:pPr>
      <w:proofErr w:type="gramStart"/>
      <w:r>
        <w:rPr>
          <w:rFonts w:ascii="Calibri"/>
          <w:position w:val="10"/>
          <w:sz w:val="14"/>
        </w:rPr>
        <w:t xml:space="preserve">15 </w:t>
      </w:r>
      <w:r>
        <w:rPr>
          <w:rFonts w:ascii="Calibri"/>
          <w:sz w:val="20"/>
        </w:rPr>
        <w:t>Detailed results available upon request.</w:t>
      </w:r>
      <w:proofErr w:type="gramEnd"/>
    </w:p>
    <w:p w:rsidR="0031076A" w:rsidRDefault="00935374">
      <w:pPr>
        <w:spacing w:before="38" w:line="232" w:lineRule="exact"/>
        <w:ind w:left="120" w:right="259"/>
        <w:rPr>
          <w:sz w:val="20"/>
        </w:rPr>
      </w:pPr>
      <w:r>
        <w:rPr>
          <w:rFonts w:ascii="Calibri"/>
          <w:position w:val="10"/>
          <w:sz w:val="14"/>
        </w:rPr>
        <w:t xml:space="preserve">16 </w:t>
      </w:r>
      <w:r>
        <w:rPr>
          <w:sz w:val="20"/>
        </w:rPr>
        <w:t>We were unable to estimate the effect of a felony waiver on deaths among those who entered during the recession as the sample size here is very small and no felony deaths were recorded.</w:t>
      </w:r>
    </w:p>
    <w:p w:rsidR="0031076A" w:rsidRDefault="0031076A">
      <w:pPr>
        <w:spacing w:line="232" w:lineRule="exact"/>
        <w:rPr>
          <w:sz w:val="20"/>
        </w:rPr>
        <w:sectPr w:rsidR="0031076A">
          <w:pgSz w:w="12240" w:h="15840"/>
          <w:pgMar w:top="1500" w:right="1320" w:bottom="280" w:left="1320" w:header="720" w:footer="720" w:gutter="0"/>
          <w:cols w:space="720"/>
        </w:sectPr>
      </w:pPr>
    </w:p>
    <w:p w:rsidR="0031076A" w:rsidRDefault="0031076A">
      <w:pPr>
        <w:pStyle w:val="BodyText"/>
        <w:spacing w:before="8"/>
        <w:rPr>
          <w:sz w:val="11"/>
        </w:rPr>
      </w:pPr>
    </w:p>
    <w:p w:rsidR="0031076A" w:rsidRDefault="00935374">
      <w:pPr>
        <w:pStyle w:val="BodyText"/>
        <w:spacing w:before="77" w:line="480" w:lineRule="auto"/>
        <w:ind w:left="100" w:right="31"/>
      </w:pPr>
      <w:proofErr w:type="gramStart"/>
      <w:r>
        <w:t>from</w:t>
      </w:r>
      <w:proofErr w:type="gramEnd"/>
      <w:r>
        <w:t xml:space="preserve"> those without. These results suggest that, with effective screening, the employment of individuals with serious criminal records can contribute to a stable and satisfactory workforce.</w:t>
      </w:r>
    </w:p>
    <w:p w:rsidR="0031076A" w:rsidRDefault="00935374">
      <w:pPr>
        <w:pStyle w:val="BodyText"/>
        <w:spacing w:line="480" w:lineRule="auto"/>
        <w:ind w:left="100" w:right="114" w:firstLine="719"/>
        <w:jc w:val="both"/>
      </w:pPr>
      <w:r>
        <w:t>The analysis to this point has focused on those with waivers for felony-level criminal records (“major conduct</w:t>
      </w:r>
      <w:proofErr w:type="gramStart"/>
      <w:r>
        <w:t>”  waivers</w:t>
      </w:r>
      <w:proofErr w:type="gramEnd"/>
      <w:r>
        <w:t xml:space="preserve">).  </w:t>
      </w:r>
      <w:proofErr w:type="gramStart"/>
      <w:r>
        <w:t>For  comparison</w:t>
      </w:r>
      <w:proofErr w:type="gramEnd"/>
      <w:r>
        <w:t xml:space="preserve">,  we  can  examine  a  similar  analysis  for those with waivers for misdemeanor-level criminal records (“minor conduct” waivers) (see Appendix 1). Interestingly, those enlisted with waivers for minor misconduct show patterns somewhat different from their felony misconduct counterparts. While overall rates of attrition </w:t>
      </w:r>
      <w:proofErr w:type="gramStart"/>
      <w:r>
        <w:t>are  no</w:t>
      </w:r>
      <w:proofErr w:type="gramEnd"/>
      <w:r>
        <w:t xml:space="preserve"> higher than those of non-waiver individuals, some important differences emerge when we   look at specific causes of early termination. Most notably, individuals with misdemeanor-level waivers are one and a half times more likely to separate for reasons of poor performance or misconduct relative to those without waivers (OR=1.56, p&lt;.05). Unlike their felony-level counterparts, then, we do see some evidence that low-level criminal records may be </w:t>
      </w:r>
      <w:proofErr w:type="gramStart"/>
      <w:r>
        <w:t>associated  with</w:t>
      </w:r>
      <w:proofErr w:type="gramEnd"/>
      <w:r>
        <w:t xml:space="preserve"> negative performance. A history of low-level repeat offending may signal a behavioral style less compatible with the highly structured military environment; or it may be the case that those admitted with low-level offenses are subject to less intensive screening (relative to their felony-level counterparts) in the waiver</w:t>
      </w:r>
      <w:r>
        <w:rPr>
          <w:spacing w:val="-20"/>
        </w:rPr>
        <w:t xml:space="preserve"> </w:t>
      </w:r>
      <w:r>
        <w:t>process.</w:t>
      </w:r>
    </w:p>
    <w:p w:rsidR="0031076A" w:rsidRDefault="00935374">
      <w:pPr>
        <w:pStyle w:val="BodyText"/>
        <w:spacing w:line="480" w:lineRule="auto"/>
        <w:ind w:left="100" w:right="116" w:firstLine="719"/>
        <w:jc w:val="both"/>
      </w:pPr>
      <w:r>
        <w:t>We briefly note a few other interesting trends in Appendix 1. Separating for poor conduct is more common during the war surge period and during the recession period compared to during times of peace. This may be linked to a greater incentive for enlistees to commit offenses leading to their dishonorable discharge during times of war, and, during recession, the military’s prerogative for allowing a dishonorable discharge depending on the vicissitudes of supply and demand. Citizens, some minorities, those without a high school degree and GED holders are more likely to separate early for conduct reasons, but less likely to separate due to health or loss of life.</w:t>
      </w:r>
    </w:p>
    <w:p w:rsidR="0031076A" w:rsidRDefault="0031076A">
      <w:pPr>
        <w:spacing w:line="480" w:lineRule="auto"/>
        <w:jc w:val="both"/>
        <w:sectPr w:rsidR="0031076A">
          <w:pgSz w:w="12240" w:h="15840"/>
          <w:pgMar w:top="1500" w:right="1320" w:bottom="280" w:left="1340" w:header="720" w:footer="720" w:gutter="0"/>
          <w:cols w:space="720"/>
        </w:sectPr>
      </w:pPr>
    </w:p>
    <w:p w:rsidR="0031076A" w:rsidRDefault="0031076A">
      <w:pPr>
        <w:pStyle w:val="BodyText"/>
        <w:spacing w:before="8"/>
        <w:rPr>
          <w:sz w:val="11"/>
        </w:rPr>
      </w:pPr>
    </w:p>
    <w:p w:rsidR="0031076A" w:rsidRDefault="00935374">
      <w:pPr>
        <w:pStyle w:val="BodyText"/>
        <w:spacing w:before="77" w:line="480" w:lineRule="auto"/>
        <w:ind w:left="100" w:right="118" w:firstLine="719"/>
        <w:jc w:val="both"/>
      </w:pPr>
      <w:r>
        <w:t>Given the available data, we cannot identify the specific factor(s) that may differentiate those with more and less serious criminal histories. What we can more safely conclude is that, while not all those with criminal records perform well in this particular employment context, the integration of those with felony-level criminal records -- the type of criminal record of most concern to employers</w:t>
      </w:r>
    </w:p>
    <w:p w:rsidR="0031076A" w:rsidRDefault="00935374">
      <w:pPr>
        <w:pStyle w:val="BodyText"/>
        <w:ind w:left="100" w:right="31"/>
      </w:pPr>
      <w:r>
        <w:t>-- can achieve patterns of attrition that are indistinguishable from those without records.</w:t>
      </w:r>
    </w:p>
    <w:p w:rsidR="0031076A" w:rsidRDefault="0031076A">
      <w:pPr>
        <w:pStyle w:val="BodyText"/>
      </w:pPr>
    </w:p>
    <w:p w:rsidR="0031076A" w:rsidRDefault="0031076A">
      <w:pPr>
        <w:pStyle w:val="BodyText"/>
      </w:pPr>
    </w:p>
    <w:p w:rsidR="0031076A" w:rsidRDefault="0031076A">
      <w:pPr>
        <w:pStyle w:val="BodyText"/>
        <w:rPr>
          <w:sz w:val="23"/>
        </w:rPr>
      </w:pPr>
    </w:p>
    <w:p w:rsidR="0031076A" w:rsidRDefault="00935374">
      <w:pPr>
        <w:pStyle w:val="Heading1"/>
        <w:numPr>
          <w:ilvl w:val="0"/>
          <w:numId w:val="1"/>
        </w:numPr>
        <w:tabs>
          <w:tab w:val="left" w:pos="821"/>
        </w:tabs>
        <w:spacing w:before="1"/>
        <w:ind w:left="820"/>
      </w:pPr>
      <w:r>
        <w:rPr>
          <w:w w:val="95"/>
        </w:rPr>
        <w:t>Predicting</w:t>
      </w:r>
      <w:r>
        <w:rPr>
          <w:spacing w:val="13"/>
          <w:w w:val="95"/>
        </w:rPr>
        <w:t xml:space="preserve"> </w:t>
      </w:r>
      <w:r>
        <w:rPr>
          <w:w w:val="95"/>
        </w:rPr>
        <w:t>Promotions</w:t>
      </w:r>
    </w:p>
    <w:p w:rsidR="0031076A" w:rsidRDefault="0031076A">
      <w:pPr>
        <w:pStyle w:val="BodyText"/>
        <w:spacing w:before="8"/>
        <w:rPr>
          <w:b/>
          <w:sz w:val="23"/>
        </w:rPr>
      </w:pPr>
    </w:p>
    <w:p w:rsidR="0031076A" w:rsidRDefault="00935374">
      <w:pPr>
        <w:pStyle w:val="BodyText"/>
        <w:spacing w:line="480" w:lineRule="auto"/>
        <w:ind w:left="100" w:right="116" w:firstLine="719"/>
        <w:jc w:val="both"/>
      </w:pPr>
      <w:r>
        <w:t xml:space="preserve">The analysis above shows that those with felony waivers are no more likely to terminate early, and show no higher rates of poor performance or misconduct, than those without. These measures assess stability and negative performance, both of which are particularly important for assessments of worker suitability. In the next set of analyses, we turn to more positive indicators of performance, as measured by rates of promotion. We assess promotion success using two measures, the first capturing the rate of promotion (a continuous measure) and the second capturing the likelihood of promotion to the rank of Sergeant and above (a binary measure). Absent controls, those with felony waivers demonstrates rates of promotion roughly .25 ranks higher than their non- waiver counterparts. They are </w:t>
      </w:r>
      <w:proofErr w:type="gramStart"/>
      <w:r>
        <w:t>likewise  5</w:t>
      </w:r>
      <w:proofErr w:type="gramEnd"/>
      <w:r>
        <w:t xml:space="preserve">  percentage  points  more  likely  to  achieve promotion  to sergeant rank (see Table</w:t>
      </w:r>
      <w:r>
        <w:rPr>
          <w:spacing w:val="-37"/>
        </w:rPr>
        <w:t xml:space="preserve"> </w:t>
      </w:r>
      <w:r>
        <w:t>2).</w:t>
      </w:r>
    </w:p>
    <w:p w:rsidR="0031076A" w:rsidRDefault="00935374">
      <w:pPr>
        <w:pStyle w:val="BodyText"/>
        <w:spacing w:line="269" w:lineRule="exact"/>
        <w:ind w:left="460" w:right="31"/>
      </w:pPr>
      <w:r>
        <w:t>Major |</w:t>
      </w:r>
    </w:p>
    <w:p w:rsidR="0031076A" w:rsidRDefault="00935374">
      <w:pPr>
        <w:pStyle w:val="BodyText"/>
        <w:tabs>
          <w:tab w:val="left" w:pos="1513"/>
          <w:tab w:val="left" w:pos="1727"/>
          <w:tab w:val="left" w:pos="3500"/>
        </w:tabs>
        <w:ind w:left="580" w:right="4974" w:hanging="480"/>
      </w:pPr>
      <w:r>
        <w:t>Misconduct:</w:t>
      </w:r>
      <w:r>
        <w:rPr>
          <w:spacing w:val="-3"/>
        </w:rPr>
        <w:t xml:space="preserve"> </w:t>
      </w:r>
      <w:r>
        <w:t>|</w:t>
      </w:r>
      <w:r>
        <w:tab/>
      </w:r>
      <w:r>
        <w:tab/>
        <w:t>Summary of Promoted to E5+</w:t>
      </w:r>
      <w:r>
        <w:rPr>
          <w:spacing w:val="-6"/>
        </w:rPr>
        <w:t xml:space="preserve"> </w:t>
      </w:r>
      <w:r>
        <w:t>All</w:t>
      </w:r>
      <w:r>
        <w:rPr>
          <w:spacing w:val="-2"/>
        </w:rPr>
        <w:t xml:space="preserve"> </w:t>
      </w:r>
      <w:r>
        <w:t>|</w:t>
      </w:r>
      <w:r>
        <w:tab/>
      </w:r>
      <w:proofErr w:type="gramStart"/>
      <w:r>
        <w:t xml:space="preserve">Mean </w:t>
      </w:r>
      <w:r>
        <w:rPr>
          <w:spacing w:val="55"/>
        </w:rPr>
        <w:t xml:space="preserve"> </w:t>
      </w:r>
      <w:r>
        <w:t>Std</w:t>
      </w:r>
      <w:proofErr w:type="gramEnd"/>
      <w:r>
        <w:t>. Dev.</w:t>
      </w:r>
      <w:r>
        <w:tab/>
        <w:t>Freq.</w:t>
      </w:r>
    </w:p>
    <w:p w:rsidR="0031076A" w:rsidRDefault="00935374">
      <w:pPr>
        <w:pStyle w:val="BodyText"/>
        <w:spacing w:line="269" w:lineRule="exact"/>
        <w:ind w:left="100" w:right="-2276"/>
      </w:pPr>
      <w:r>
        <w:t>-</w:t>
      </w:r>
      <w:r>
        <w:rPr>
          <w:spacing w:val="-2"/>
        </w:rPr>
        <w:t>-</w:t>
      </w:r>
      <w:r>
        <w:t>-</w:t>
      </w:r>
      <w:r>
        <w:rPr>
          <w:spacing w:val="-2"/>
        </w:rPr>
        <w:t>-</w:t>
      </w:r>
      <w:r>
        <w:rPr>
          <w:spacing w:val="1"/>
        </w:rPr>
        <w:t>-</w:t>
      </w:r>
      <w:r>
        <w:t>-</w:t>
      </w:r>
      <w:r>
        <w:rPr>
          <w:spacing w:val="-2"/>
        </w:rPr>
        <w:t>-</w:t>
      </w:r>
      <w:r>
        <w:t>---</w:t>
      </w:r>
      <w:r>
        <w:rPr>
          <w:spacing w:val="-2"/>
        </w:rPr>
        <w:t>-</w:t>
      </w:r>
      <w:r>
        <w:rPr>
          <w:spacing w:val="-1"/>
        </w:rPr>
        <w:t>-</w:t>
      </w:r>
      <w:r>
        <w:t>+-</w:t>
      </w:r>
      <w:r>
        <w:rPr>
          <w:spacing w:val="-2"/>
        </w:rPr>
        <w:t>-</w:t>
      </w:r>
      <w:r>
        <w:rPr>
          <w:spacing w:val="1"/>
        </w:rPr>
        <w:t>-</w:t>
      </w:r>
      <w:r>
        <w:t>-</w:t>
      </w:r>
      <w:r>
        <w:rPr>
          <w:spacing w:val="-2"/>
        </w:rPr>
        <w:t>-</w:t>
      </w:r>
      <w:r>
        <w:t>---</w:t>
      </w:r>
      <w:r>
        <w:rPr>
          <w:spacing w:val="-2"/>
        </w:rPr>
        <w:t>-</w:t>
      </w:r>
      <w:r>
        <w:t>---</w:t>
      </w:r>
      <w:r>
        <w:rPr>
          <w:spacing w:val="-2"/>
        </w:rPr>
        <w:t>-</w:t>
      </w:r>
      <w:r>
        <w:t>---</w:t>
      </w:r>
      <w:r>
        <w:rPr>
          <w:spacing w:val="-2"/>
        </w:rPr>
        <w:t>-</w:t>
      </w:r>
      <w:r>
        <w:rPr>
          <w:spacing w:val="1"/>
        </w:rPr>
        <w:t>-</w:t>
      </w:r>
      <w:r>
        <w:t>-</w:t>
      </w:r>
      <w:r>
        <w:rPr>
          <w:spacing w:val="-2"/>
        </w:rPr>
        <w:t>-</w:t>
      </w:r>
      <w:r>
        <w:t>-</w:t>
      </w:r>
      <w:r>
        <w:rPr>
          <w:spacing w:val="-2"/>
        </w:rPr>
        <w:t>-</w:t>
      </w:r>
      <w:r>
        <w:rPr>
          <w:spacing w:val="1"/>
        </w:rPr>
        <w:t>-</w:t>
      </w:r>
      <w:r>
        <w:t>-</w:t>
      </w:r>
      <w:r>
        <w:rPr>
          <w:spacing w:val="-2"/>
        </w:rPr>
        <w:t>-</w:t>
      </w:r>
      <w:r>
        <w:t>---</w:t>
      </w:r>
      <w:r>
        <w:rPr>
          <w:spacing w:val="-2"/>
        </w:rPr>
        <w:t>-</w:t>
      </w:r>
      <w:r>
        <w:t>---</w:t>
      </w:r>
      <w:r>
        <w:rPr>
          <w:spacing w:val="-2"/>
        </w:rPr>
        <w:t>-</w:t>
      </w:r>
      <w:r>
        <w:t>---</w:t>
      </w:r>
    </w:p>
    <w:p w:rsidR="0031076A" w:rsidRDefault="00935374">
      <w:pPr>
        <w:pStyle w:val="BodyText"/>
        <w:tabs>
          <w:tab w:val="left" w:pos="3749"/>
        </w:tabs>
        <w:spacing w:before="1" w:line="269" w:lineRule="exact"/>
        <w:ind w:right="4601"/>
        <w:jc w:val="center"/>
      </w:pPr>
      <w:r>
        <w:t xml:space="preserve">No Felony </w:t>
      </w:r>
      <w:proofErr w:type="gramStart"/>
      <w:r>
        <w:t xml:space="preserve">| </w:t>
      </w:r>
      <w:r>
        <w:rPr>
          <w:spacing w:val="57"/>
        </w:rPr>
        <w:t xml:space="preserve"> </w:t>
      </w:r>
      <w:r>
        <w:t>.</w:t>
      </w:r>
      <w:proofErr w:type="gramEnd"/>
      <w:r>
        <w:t xml:space="preserve">15899582 </w:t>
      </w:r>
      <w:r>
        <w:rPr>
          <w:spacing w:val="57"/>
        </w:rPr>
        <w:t xml:space="preserve"> </w:t>
      </w:r>
      <w:r>
        <w:t>.36567234</w:t>
      </w:r>
      <w:r>
        <w:tab/>
        <w:t>1264398</w:t>
      </w:r>
    </w:p>
    <w:p w:rsidR="0031076A" w:rsidRDefault="00935374">
      <w:pPr>
        <w:pStyle w:val="BodyText"/>
        <w:tabs>
          <w:tab w:val="left" w:pos="3931"/>
        </w:tabs>
        <w:spacing w:line="269" w:lineRule="exact"/>
        <w:ind w:right="4756"/>
        <w:jc w:val="center"/>
      </w:pPr>
      <w:r>
        <w:t xml:space="preserve">Felony </w:t>
      </w:r>
      <w:proofErr w:type="spellStart"/>
      <w:r>
        <w:t>Wa</w:t>
      </w:r>
      <w:proofErr w:type="spellEnd"/>
      <w:r>
        <w:t xml:space="preserve"> </w:t>
      </w:r>
      <w:proofErr w:type="gramStart"/>
      <w:r>
        <w:t xml:space="preserve">| </w:t>
      </w:r>
      <w:r>
        <w:rPr>
          <w:spacing w:val="57"/>
        </w:rPr>
        <w:t xml:space="preserve"> </w:t>
      </w:r>
      <w:r>
        <w:t>.</w:t>
      </w:r>
      <w:proofErr w:type="gramEnd"/>
      <w:r>
        <w:t xml:space="preserve">20872983 </w:t>
      </w:r>
      <w:r>
        <w:rPr>
          <w:spacing w:val="56"/>
        </w:rPr>
        <w:t xml:space="preserve"> </w:t>
      </w:r>
      <w:r>
        <w:t>.40644294</w:t>
      </w:r>
      <w:r>
        <w:tab/>
        <w:t>4834</w:t>
      </w:r>
    </w:p>
    <w:p w:rsidR="0031076A" w:rsidRDefault="00935374">
      <w:pPr>
        <w:pStyle w:val="BodyText"/>
        <w:spacing w:before="1" w:line="269" w:lineRule="exact"/>
        <w:ind w:left="100" w:right="-2276"/>
      </w:pPr>
      <w:r>
        <w:t>-</w:t>
      </w:r>
      <w:r>
        <w:rPr>
          <w:spacing w:val="-2"/>
        </w:rPr>
        <w:t>-</w:t>
      </w:r>
      <w:r>
        <w:t>-</w:t>
      </w:r>
      <w:r>
        <w:rPr>
          <w:spacing w:val="-2"/>
        </w:rPr>
        <w:t>-</w:t>
      </w:r>
      <w:r>
        <w:rPr>
          <w:spacing w:val="1"/>
        </w:rPr>
        <w:t>-</w:t>
      </w:r>
      <w:r>
        <w:t>-</w:t>
      </w:r>
      <w:r>
        <w:rPr>
          <w:spacing w:val="-2"/>
        </w:rPr>
        <w:t>-</w:t>
      </w:r>
      <w:r>
        <w:t>---</w:t>
      </w:r>
      <w:r>
        <w:rPr>
          <w:spacing w:val="-2"/>
        </w:rPr>
        <w:t>-</w:t>
      </w:r>
      <w:r>
        <w:rPr>
          <w:spacing w:val="-1"/>
        </w:rPr>
        <w:t>-</w:t>
      </w:r>
      <w:r>
        <w:t>+</w:t>
      </w:r>
      <w:r>
        <w:rPr>
          <w:spacing w:val="-1"/>
        </w:rPr>
        <w:t>--</w:t>
      </w:r>
      <w:r>
        <w:rPr>
          <w:spacing w:val="1"/>
        </w:rPr>
        <w:t>-</w:t>
      </w:r>
      <w:r>
        <w:t>-</w:t>
      </w:r>
      <w:r>
        <w:rPr>
          <w:spacing w:val="-2"/>
        </w:rPr>
        <w:t>-</w:t>
      </w:r>
      <w:r>
        <w:t>---</w:t>
      </w:r>
      <w:r>
        <w:rPr>
          <w:spacing w:val="-2"/>
        </w:rPr>
        <w:t>-</w:t>
      </w:r>
      <w:r>
        <w:t>---</w:t>
      </w:r>
      <w:r>
        <w:rPr>
          <w:spacing w:val="-2"/>
        </w:rPr>
        <w:t>-</w:t>
      </w:r>
      <w:r>
        <w:t>---</w:t>
      </w:r>
      <w:r>
        <w:rPr>
          <w:spacing w:val="-2"/>
        </w:rPr>
        <w:t>-</w:t>
      </w:r>
      <w:r>
        <w:rPr>
          <w:spacing w:val="1"/>
        </w:rPr>
        <w:t>-</w:t>
      </w:r>
      <w:r>
        <w:t>-</w:t>
      </w:r>
      <w:r>
        <w:rPr>
          <w:spacing w:val="-2"/>
        </w:rPr>
        <w:t>-</w:t>
      </w:r>
      <w:r>
        <w:t>-</w:t>
      </w:r>
      <w:r>
        <w:rPr>
          <w:spacing w:val="-2"/>
        </w:rPr>
        <w:t>-</w:t>
      </w:r>
      <w:r>
        <w:rPr>
          <w:spacing w:val="1"/>
        </w:rPr>
        <w:t>-</w:t>
      </w:r>
      <w:r>
        <w:t>-</w:t>
      </w:r>
      <w:r>
        <w:rPr>
          <w:spacing w:val="-2"/>
        </w:rPr>
        <w:t>-</w:t>
      </w:r>
      <w:r>
        <w:t>---</w:t>
      </w:r>
      <w:r>
        <w:rPr>
          <w:spacing w:val="-2"/>
        </w:rPr>
        <w:t>-</w:t>
      </w:r>
      <w:r>
        <w:t>---</w:t>
      </w:r>
      <w:r>
        <w:rPr>
          <w:spacing w:val="-2"/>
        </w:rPr>
        <w:t>-</w:t>
      </w:r>
      <w:r>
        <w:t>---</w:t>
      </w:r>
    </w:p>
    <w:p w:rsidR="0031076A" w:rsidRDefault="00935374">
      <w:pPr>
        <w:pStyle w:val="BodyText"/>
        <w:tabs>
          <w:tab w:val="left" w:pos="3238"/>
        </w:tabs>
        <w:spacing w:line="269" w:lineRule="exact"/>
        <w:ind w:right="4633"/>
        <w:jc w:val="center"/>
      </w:pPr>
      <w:r>
        <w:t xml:space="preserve">Total </w:t>
      </w:r>
      <w:proofErr w:type="gramStart"/>
      <w:r>
        <w:t xml:space="preserve">| </w:t>
      </w:r>
      <w:r>
        <w:rPr>
          <w:spacing w:val="57"/>
        </w:rPr>
        <w:t xml:space="preserve"> </w:t>
      </w:r>
      <w:r>
        <w:t>.</w:t>
      </w:r>
      <w:proofErr w:type="gramEnd"/>
      <w:r>
        <w:t xml:space="preserve">15918524 </w:t>
      </w:r>
      <w:r>
        <w:rPr>
          <w:spacing w:val="57"/>
        </w:rPr>
        <w:t xml:space="preserve"> </w:t>
      </w:r>
      <w:r>
        <w:t>.36584888</w:t>
      </w:r>
      <w:r>
        <w:tab/>
        <w:t>1269232</w:t>
      </w:r>
    </w:p>
    <w:p w:rsidR="0031076A" w:rsidRDefault="0031076A">
      <w:pPr>
        <w:pStyle w:val="BodyText"/>
      </w:pPr>
    </w:p>
    <w:p w:rsidR="0031076A" w:rsidRDefault="0031076A">
      <w:pPr>
        <w:pStyle w:val="BodyText"/>
        <w:spacing w:before="7"/>
        <w:rPr>
          <w:sz w:val="23"/>
        </w:rPr>
      </w:pPr>
    </w:p>
    <w:p w:rsidR="0031076A" w:rsidRDefault="00935374">
      <w:pPr>
        <w:pStyle w:val="BodyText"/>
        <w:ind w:left="3252" w:right="3271"/>
        <w:jc w:val="center"/>
      </w:pPr>
      <w:r>
        <w:t>[Insert Table 2 here]</w:t>
      </w:r>
    </w:p>
    <w:p w:rsidR="0031076A" w:rsidRDefault="0031076A">
      <w:pPr>
        <w:jc w:val="center"/>
        <w:sectPr w:rsidR="0031076A">
          <w:pgSz w:w="12240" w:h="15840"/>
          <w:pgMar w:top="1500" w:right="1320" w:bottom="280" w:left="1340" w:header="720" w:footer="720" w:gutter="0"/>
          <w:cols w:space="720"/>
        </w:sectPr>
      </w:pPr>
    </w:p>
    <w:p w:rsidR="0031076A" w:rsidRDefault="0031076A">
      <w:pPr>
        <w:pStyle w:val="BodyText"/>
        <w:spacing w:before="8"/>
        <w:rPr>
          <w:sz w:val="11"/>
        </w:rPr>
      </w:pPr>
    </w:p>
    <w:p w:rsidR="0031076A" w:rsidRDefault="00935374">
      <w:pPr>
        <w:pStyle w:val="BodyText"/>
        <w:spacing w:before="77" w:line="477" w:lineRule="auto"/>
        <w:ind w:left="120" w:right="115" w:firstLine="719"/>
        <w:jc w:val="both"/>
      </w:pPr>
      <w:r>
        <w:t>Turning to a multivariate framework, Figure 3 shows the rate of promotion for those with and without felony waivers over time, controlling for the rank at which the individual entered the service and total years enlisted, among other controls.</w:t>
      </w:r>
      <w:r>
        <w:rPr>
          <w:position w:val="10"/>
          <w:sz w:val="14"/>
        </w:rPr>
        <w:t xml:space="preserve">17 </w:t>
      </w:r>
      <w:r>
        <w:t xml:space="preserve">Here we find that those with felony waivers demonstrate  a  faster  rate  of  promotion  than  their  non-waiver  counterparts.  Specifically,   our estimates suggest that those with felony waivers are promoted roughly 0.087 ranks more than non- waivers with similar </w:t>
      </w:r>
      <w:proofErr w:type="gramStart"/>
      <w:r>
        <w:t>starting  points</w:t>
      </w:r>
      <w:proofErr w:type="gramEnd"/>
      <w:r>
        <w:t xml:space="preserve"> and  years of experience.  Over </w:t>
      </w:r>
      <w:proofErr w:type="gramStart"/>
      <w:r>
        <w:t>a  typical</w:t>
      </w:r>
      <w:proofErr w:type="gramEnd"/>
      <w:r>
        <w:t xml:space="preserve"> service  duration of X years, this suggests that those with felony waivers wind up on average X*.087 ranks above their non- waiver peers. Contrary to negative expectations concerning those with serious criminal records, then, we  see  evidence  that  those  with  felony-level  histories  outpace  their peers in successful mobility through the </w:t>
      </w:r>
      <w:r>
        <w:rPr>
          <w:spacing w:val="54"/>
        </w:rPr>
        <w:t xml:space="preserve"> </w:t>
      </w:r>
      <w:r>
        <w:t>organization.</w:t>
      </w:r>
    </w:p>
    <w:p w:rsidR="0031076A" w:rsidRDefault="00935374">
      <w:pPr>
        <w:pStyle w:val="BodyText"/>
        <w:spacing w:before="2"/>
        <w:ind w:left="3881" w:right="205"/>
      </w:pPr>
      <w:r>
        <w:t>[Insert Figure 3 about here]</w:t>
      </w:r>
    </w:p>
    <w:p w:rsidR="0031076A" w:rsidRDefault="0031076A">
      <w:pPr>
        <w:pStyle w:val="BodyText"/>
      </w:pPr>
    </w:p>
    <w:p w:rsidR="0031076A" w:rsidRDefault="00935374">
      <w:pPr>
        <w:pStyle w:val="BodyText"/>
        <w:spacing w:line="477" w:lineRule="auto"/>
        <w:ind w:left="120" w:right="120" w:firstLine="719"/>
        <w:jc w:val="both"/>
        <w:rPr>
          <w:sz w:val="14"/>
        </w:rPr>
      </w:pPr>
      <w:r>
        <w:t xml:space="preserve">Interestingly, other waiver categories do not fare as well. Individuals with waivers for misdemeanor-level offenses have lower rates of promotion than comparable recruits, as do     those entering with dependent and health waivers (see full model in Appendix 2). Again, it is not possible for us to </w:t>
      </w:r>
      <w:proofErr w:type="gramStart"/>
      <w:r>
        <w:t>disentangle  whether</w:t>
      </w:r>
      <w:proofErr w:type="gramEnd"/>
      <w:r>
        <w:t xml:space="preserve"> this is due to a less  stringent process for granting waivers     in these cases or due to ongoing challenges that limit these individuals’ successful</w:t>
      </w:r>
      <w:r>
        <w:rPr>
          <w:spacing w:val="14"/>
        </w:rPr>
        <w:t xml:space="preserve"> </w:t>
      </w:r>
      <w:r>
        <w:t>advancement.</w:t>
      </w:r>
      <w:r>
        <w:rPr>
          <w:position w:val="10"/>
          <w:sz w:val="14"/>
        </w:rPr>
        <w:t>18</w:t>
      </w:r>
    </w:p>
    <w:p w:rsidR="0031076A" w:rsidRDefault="00E0098D">
      <w:pPr>
        <w:pStyle w:val="BodyText"/>
        <w:spacing w:line="480" w:lineRule="auto"/>
        <w:ind w:left="120" w:right="120" w:firstLine="719"/>
        <w:jc w:val="both"/>
      </w:pPr>
      <w:r>
        <w:rPr>
          <w:noProof/>
        </w:rPr>
        <mc:AlternateContent>
          <mc:Choice Requires="wps">
            <w:drawing>
              <wp:anchor distT="0" distB="0" distL="0" distR="0" simplePos="0" relativeHeight="251663872" behindDoc="0" locked="0" layoutInCell="1" allowOverlap="1">
                <wp:simplePos x="0" y="0"/>
                <wp:positionH relativeFrom="page">
                  <wp:posOffset>914400</wp:posOffset>
                </wp:positionH>
                <wp:positionV relativeFrom="paragraph">
                  <wp:posOffset>731520</wp:posOffset>
                </wp:positionV>
                <wp:extent cx="1829435" cy="0"/>
                <wp:effectExtent l="9525" t="7620" r="8890" b="1143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7.6pt" to="216.0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c+LEg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" strokeweight=".72pt">
                <w10:wrap type="topAndBottom" anchorx="page"/>
              </v:line>
            </w:pict>
          </mc:Fallback>
        </mc:AlternateContent>
      </w:r>
      <w:r w:rsidR="00935374">
        <w:t>Promotions occurred more rapidly during the war surge than they did during the economic recession or during peacetime. Promotion rates were fastest in the Army than in other branches,</w:t>
      </w:r>
    </w:p>
    <w:p w:rsidR="0031076A" w:rsidRDefault="00935374">
      <w:pPr>
        <w:spacing w:before="47" w:line="278" w:lineRule="auto"/>
        <w:ind w:left="120" w:right="131"/>
        <w:rPr>
          <w:sz w:val="20"/>
        </w:rPr>
      </w:pPr>
      <w:r>
        <w:rPr>
          <w:rFonts w:ascii="Calibri"/>
          <w:position w:val="10"/>
          <w:sz w:val="14"/>
        </w:rPr>
        <w:t xml:space="preserve">17 </w:t>
      </w:r>
      <w:r>
        <w:rPr>
          <w:sz w:val="20"/>
        </w:rPr>
        <w:t>To account for differences in waiver selectivity across military branches and over the time period, we also ran models with a two-stage Heckman correction for selectivity into criminal waiver status and found similar results, not shown. We found no significant interactions between the felony waiver variable and other variables except for the non-high school graduate variable. Felony waivers without high school degrees were especially likely to out-perform their non-felony waiver counterparts, presumably a reflection of the heightened screening that goes into these enlistees.</w:t>
      </w:r>
    </w:p>
    <w:p w:rsidR="0031076A" w:rsidRDefault="00935374">
      <w:pPr>
        <w:spacing w:before="170" w:line="242" w:lineRule="auto"/>
        <w:ind w:left="120" w:right="131"/>
        <w:rPr>
          <w:sz w:val="20"/>
        </w:rPr>
      </w:pPr>
      <w:r>
        <w:rPr>
          <w:rFonts w:ascii="Calibri"/>
          <w:position w:val="10"/>
          <w:sz w:val="14"/>
        </w:rPr>
        <w:t xml:space="preserve">18 </w:t>
      </w:r>
      <w:r>
        <w:rPr>
          <w:sz w:val="20"/>
        </w:rPr>
        <w:t>One weakness of the promotion models is that the demand and supply of specific occupations, particularly at higher paygrades, may also influence how quickly and to what level one can be promoted. We do not have occupational data to be able to address unobserved heterogeneity of this sort. If enlistees with waivers are more or less likely to be placed in higher mobility occupations, then this could influence the observed pattern of results.</w:t>
      </w:r>
    </w:p>
    <w:p w:rsidR="0031076A" w:rsidRDefault="0031076A">
      <w:pPr>
        <w:spacing w:line="242" w:lineRule="auto"/>
        <w:rPr>
          <w:sz w:val="20"/>
        </w:rPr>
        <w:sectPr w:rsidR="0031076A">
          <w:pgSz w:w="12240" w:h="15840"/>
          <w:pgMar w:top="1500" w:right="1320" w:bottom="280" w:left="1320" w:header="720" w:footer="720" w:gutter="0"/>
          <w:cols w:space="720"/>
        </w:sectPr>
      </w:pPr>
    </w:p>
    <w:p w:rsidR="0031076A" w:rsidRDefault="0031076A">
      <w:pPr>
        <w:pStyle w:val="BodyText"/>
        <w:spacing w:before="8"/>
        <w:rPr>
          <w:sz w:val="11"/>
        </w:rPr>
      </w:pPr>
    </w:p>
    <w:p w:rsidR="0031076A" w:rsidRDefault="00935374">
      <w:pPr>
        <w:pStyle w:val="BodyText"/>
        <w:spacing w:before="77" w:line="480" w:lineRule="auto"/>
        <w:ind w:left="100" w:right="117"/>
        <w:jc w:val="both"/>
      </w:pPr>
      <w:proofErr w:type="gramStart"/>
      <w:r>
        <w:t>which</w:t>
      </w:r>
      <w:proofErr w:type="gramEnd"/>
      <w:r>
        <w:t xml:space="preserve"> may be a function of the Army’s larger size. Promotion rates are positively correlated with higher cognitive ability (AFQTP) scores. And, despite the military’s equal employment opportunity reputation, women, noncitizens, and African Americans experience slower promotion rates. Hispanics, however, have slightly faster promotion rates.</w:t>
      </w:r>
    </w:p>
    <w:p w:rsidR="0031076A" w:rsidRDefault="00935374">
      <w:pPr>
        <w:pStyle w:val="BodyText"/>
        <w:spacing w:line="480" w:lineRule="auto"/>
        <w:ind w:left="100" w:right="159" w:firstLine="719"/>
      </w:pPr>
      <w:r>
        <w:t xml:space="preserve">As a test of robustness, another approach to analyzing advancement is captured by our measure of promotion to Sergeant </w:t>
      </w:r>
      <w:proofErr w:type="gramStart"/>
      <w:r>
        <w:t>rank</w:t>
      </w:r>
      <w:proofErr w:type="gramEnd"/>
      <w:r>
        <w:t xml:space="preserve"> or above. Promotion to this level is considered to be more meritorious than progression in the lower ranks, the latter of which is a more standardized process for junior enlistees. On this promotion outcome, we again find greater promotion success for enlistees with felony waivers. They are 33% more likely to be promoted to the rank of Sergeant than similar enlistees with no such waiver (see Appendix 2 for full model). Even at this more selective stage, then, we see individuals with serious criminal histories performing better than their counterparts with no criminal record.</w:t>
      </w:r>
    </w:p>
    <w:p w:rsidR="0031076A" w:rsidRDefault="00935374">
      <w:pPr>
        <w:pStyle w:val="BodyText"/>
        <w:spacing w:line="480" w:lineRule="auto"/>
        <w:ind w:left="100" w:right="116" w:firstLine="719"/>
        <w:jc w:val="both"/>
      </w:pPr>
      <w:r>
        <w:t xml:space="preserve">As a way of calibrating the relative promotion rates of those with felony waivers to other status groups of interest, we calculate a series of predicted probabilities for key groups, with all other values set to their means. In particular, we focus on those with low measured cognitive ability (AFQT=25th percentile), high measured cognitive ability (AFQT=75th percentile), those    entering with GEDs,  and  a  comparison  category  in  which  all  characteristics  have  been  set  to their mean values (see  Figure  3).  Enlistees with </w:t>
      </w:r>
      <w:proofErr w:type="gramStart"/>
      <w:r>
        <w:t>a  felony</w:t>
      </w:r>
      <w:proofErr w:type="gramEnd"/>
      <w:r>
        <w:t xml:space="preserve">  waiver do better on this measure  than the average enlistee with no waiver, and are promoted in equivalent measure as those who     perform in the top 75th percentile of cognitive ability</w:t>
      </w:r>
      <w:r>
        <w:rPr>
          <w:spacing w:val="35"/>
        </w:rPr>
        <w:t xml:space="preserve"> </w:t>
      </w:r>
      <w:r>
        <w:t>(AFQT).</w:t>
      </w:r>
    </w:p>
    <w:p w:rsidR="0031076A" w:rsidRDefault="00935374">
      <w:pPr>
        <w:pStyle w:val="BodyText"/>
        <w:ind w:left="3252" w:right="3271"/>
        <w:jc w:val="center"/>
      </w:pPr>
      <w:r>
        <w:t xml:space="preserve">[Figure 3 </w:t>
      </w:r>
      <w:proofErr w:type="gramStart"/>
      <w:r>
        <w:t>About</w:t>
      </w:r>
      <w:proofErr w:type="gramEnd"/>
      <w:r>
        <w:t xml:space="preserve"> Here]</w:t>
      </w:r>
    </w:p>
    <w:p w:rsidR="0031076A" w:rsidRDefault="0031076A">
      <w:pPr>
        <w:pStyle w:val="BodyText"/>
      </w:pPr>
    </w:p>
    <w:p w:rsidR="0031076A" w:rsidRDefault="00935374">
      <w:pPr>
        <w:pStyle w:val="BodyText"/>
        <w:spacing w:line="480" w:lineRule="auto"/>
        <w:ind w:left="100" w:right="118"/>
        <w:jc w:val="both"/>
      </w:pPr>
      <w:r>
        <w:t>The results from our promotion models provide consistent evidence: To the extent that those with felony waivers differ from those without, it is in the direction of more successful advancement</w:t>
      </w:r>
    </w:p>
    <w:p w:rsidR="0031076A" w:rsidRDefault="0031076A">
      <w:pPr>
        <w:spacing w:line="480" w:lineRule="auto"/>
        <w:jc w:val="both"/>
        <w:sectPr w:rsidR="0031076A">
          <w:pgSz w:w="12240" w:h="15840"/>
          <w:pgMar w:top="1500" w:right="1320" w:bottom="280" w:left="1340" w:header="720" w:footer="720" w:gutter="0"/>
          <w:cols w:space="720"/>
        </w:sectPr>
      </w:pPr>
    </w:p>
    <w:p w:rsidR="0031076A" w:rsidRDefault="0031076A">
      <w:pPr>
        <w:pStyle w:val="BodyText"/>
        <w:spacing w:before="8"/>
        <w:rPr>
          <w:sz w:val="11"/>
        </w:rPr>
      </w:pPr>
    </w:p>
    <w:p w:rsidR="0031076A" w:rsidRDefault="00935374">
      <w:pPr>
        <w:pStyle w:val="BodyText"/>
        <w:spacing w:before="77" w:line="480" w:lineRule="auto"/>
        <w:ind w:left="100" w:right="117"/>
        <w:jc w:val="both"/>
      </w:pPr>
      <w:proofErr w:type="gramStart"/>
      <w:r>
        <w:t>through</w:t>
      </w:r>
      <w:proofErr w:type="gramEnd"/>
      <w:r>
        <w:t xml:space="preserve"> the ranks. Despite widespread concerns about the commitment or competence of individuals with serious criminal histories, the current evidence suggests that these individuals can meet and exceed standards of performance.</w:t>
      </w:r>
    </w:p>
    <w:p w:rsidR="0031076A" w:rsidRDefault="0031076A">
      <w:pPr>
        <w:pStyle w:val="BodyText"/>
      </w:pPr>
    </w:p>
    <w:p w:rsidR="0031076A" w:rsidRDefault="0031076A">
      <w:pPr>
        <w:pStyle w:val="BodyText"/>
        <w:rPr>
          <w:sz w:val="23"/>
        </w:rPr>
      </w:pPr>
    </w:p>
    <w:p w:rsidR="0031076A" w:rsidRDefault="00935374">
      <w:pPr>
        <w:pStyle w:val="Heading1"/>
        <w:ind w:firstLine="0"/>
        <w:jc w:val="both"/>
      </w:pPr>
      <w:r>
        <w:t>DISCUSSION</w:t>
      </w:r>
    </w:p>
    <w:p w:rsidR="0031076A" w:rsidRDefault="0031076A">
      <w:pPr>
        <w:pStyle w:val="BodyText"/>
        <w:spacing w:before="8"/>
        <w:rPr>
          <w:b/>
          <w:sz w:val="23"/>
        </w:rPr>
      </w:pPr>
    </w:p>
    <w:p w:rsidR="0031076A" w:rsidRDefault="00935374">
      <w:pPr>
        <w:pStyle w:val="BodyText"/>
        <w:spacing w:line="480" w:lineRule="auto"/>
        <w:ind w:left="100" w:right="114"/>
        <w:jc w:val="both"/>
      </w:pPr>
      <w:r>
        <w:t xml:space="preserve">The military waiver program offers a rare glimpse into the work performance of thousands of individuals with criminal records who are offered positions with America’s largest employer. Using a process known as the “whole person” review, the military takes into account the nature of the individual’s offense, compensating skills and experience, and a range of input from personal interviews.  In theory, this screening process for felony waivers should result in job </w:t>
      </w:r>
      <w:proofErr w:type="gramStart"/>
      <w:r>
        <w:t>performance  that</w:t>
      </w:r>
      <w:proofErr w:type="gramEnd"/>
      <w:r>
        <w:t xml:space="preserve"> is indistinguishable from non-offender recruits. Accordingly, we find that felony waivers are just as likely as any  other  military  personnel  to  successfully  carry  out  their  employment contract. Likewise, they are no more likely to be terminated for reasons of poor performance or misconduct. But we are intrigued to also find that those with felony waivers are promoted faster through each paygrade and that they more often make it to the rank of sergeant than non-offender recruits.</w:t>
      </w:r>
    </w:p>
    <w:p w:rsidR="0031076A" w:rsidRDefault="00935374">
      <w:pPr>
        <w:pStyle w:val="BodyText"/>
        <w:spacing w:line="480" w:lineRule="auto"/>
        <w:ind w:left="100" w:right="121" w:firstLine="719"/>
        <w:jc w:val="both"/>
      </w:pPr>
      <w:r>
        <w:t>What might be the reasons for the comparative success of felony waivers to other soldiers? One possibility is that the “whole person” selection process does not just weed out potentially poor performing ex-offenders, but it also selects individuals who will ultimately perform at higher     than average levels. If so, rather than categorically turning applicants with criminal records away, civilian employers may have much to gain in considering a similar screening</w:t>
      </w:r>
      <w:r>
        <w:rPr>
          <w:spacing w:val="-33"/>
        </w:rPr>
        <w:t xml:space="preserve"> </w:t>
      </w:r>
      <w:r>
        <w:t>process.</w:t>
      </w:r>
    </w:p>
    <w:p w:rsidR="0031076A" w:rsidRDefault="00935374">
      <w:pPr>
        <w:pStyle w:val="BodyText"/>
        <w:spacing w:line="480" w:lineRule="auto"/>
        <w:ind w:left="100" w:right="118" w:firstLine="719"/>
        <w:jc w:val="both"/>
      </w:pPr>
      <w:r>
        <w:t xml:space="preserve">Interestingly, the entry characteristics of those with felony waivers are not dramatically different from other recruits on observable characteristics as might be expected (such as educational attainment, </w:t>
      </w:r>
      <w:proofErr w:type="gramStart"/>
      <w:r>
        <w:t>cognitive  ability</w:t>
      </w:r>
      <w:proofErr w:type="gramEnd"/>
      <w:r>
        <w:t xml:space="preserve">). We speculate that the success </w:t>
      </w:r>
      <w:proofErr w:type="gramStart"/>
      <w:r>
        <w:t>of  the</w:t>
      </w:r>
      <w:proofErr w:type="gramEnd"/>
      <w:r>
        <w:t xml:space="preserve"> screening process    may  instead</w:t>
      </w:r>
    </w:p>
    <w:p w:rsidR="0031076A" w:rsidRDefault="0031076A">
      <w:pPr>
        <w:spacing w:line="480" w:lineRule="auto"/>
        <w:jc w:val="both"/>
        <w:sectPr w:rsidR="0031076A">
          <w:pgSz w:w="12240" w:h="15840"/>
          <w:pgMar w:top="1500" w:right="1320" w:bottom="280" w:left="1340" w:header="720" w:footer="720" w:gutter="0"/>
          <w:cols w:space="720"/>
        </w:sectPr>
      </w:pPr>
    </w:p>
    <w:p w:rsidR="0031076A" w:rsidRDefault="0031076A">
      <w:pPr>
        <w:pStyle w:val="BodyText"/>
        <w:spacing w:before="8"/>
        <w:rPr>
          <w:sz w:val="11"/>
        </w:rPr>
      </w:pPr>
    </w:p>
    <w:p w:rsidR="0031076A" w:rsidRDefault="00935374">
      <w:pPr>
        <w:pStyle w:val="BodyText"/>
        <w:spacing w:before="77" w:line="480" w:lineRule="auto"/>
        <w:ind w:left="120" w:right="116"/>
        <w:jc w:val="both"/>
      </w:pPr>
      <w:proofErr w:type="gramStart"/>
      <w:r>
        <w:t>derive</w:t>
      </w:r>
      <w:proofErr w:type="gramEnd"/>
      <w:r>
        <w:t xml:space="preserve"> from variables not captured by our data—self-presentation in face-to-face interviews, careful consideration of the nature and timing of the crime, and recommendations from referrals who can provide evidence of rehabilitation. These more qualitative components of the screening process are important to take into consideration.</w:t>
      </w:r>
    </w:p>
    <w:p w:rsidR="0031076A" w:rsidRDefault="00935374">
      <w:pPr>
        <w:pStyle w:val="BodyText"/>
        <w:spacing w:line="477" w:lineRule="auto"/>
        <w:ind w:left="120" w:right="118" w:firstLine="719"/>
        <w:jc w:val="both"/>
        <w:rPr>
          <w:sz w:val="14"/>
        </w:rPr>
      </w:pPr>
      <w:r>
        <w:t xml:space="preserve">The other likely explanation for felony waivers’ high performance relates to their relatively poor employment prospects overall. The scarcity of stable employment for felons is </w:t>
      </w:r>
      <w:proofErr w:type="gramStart"/>
      <w:r>
        <w:t>likely  to</w:t>
      </w:r>
      <w:proofErr w:type="gramEnd"/>
      <w:r>
        <w:t xml:space="preserve"> generate greater commitment to an employer who is willing to take a chance on them. In the case of the  military’s  felony  waiver  program,  ex-felons  may  work  harder  to  get  promoted  and  look to military service as a more long term career because they believe they will not find such opportunities in the broader labor market.</w:t>
      </w:r>
      <w:r>
        <w:rPr>
          <w:position w:val="10"/>
          <w:sz w:val="14"/>
        </w:rPr>
        <w:t>19</w:t>
      </w:r>
    </w:p>
    <w:p w:rsidR="0031076A" w:rsidRDefault="00935374">
      <w:pPr>
        <w:pStyle w:val="BodyText"/>
        <w:spacing w:line="480" w:lineRule="auto"/>
        <w:ind w:left="120" w:right="115" w:firstLine="719"/>
        <w:jc w:val="both"/>
      </w:pPr>
      <w:r>
        <w:t xml:space="preserve">We have focused our attention in this paper on felony waivers because ex-felons experience </w:t>
      </w:r>
      <w:proofErr w:type="gramStart"/>
      <w:r>
        <w:t>the  most</w:t>
      </w:r>
      <w:proofErr w:type="gramEnd"/>
      <w:r>
        <w:t xml:space="preserve">  discrimination  on  the  job  market.  </w:t>
      </w:r>
      <w:proofErr w:type="gramStart"/>
      <w:r>
        <w:t>At  the</w:t>
      </w:r>
      <w:proofErr w:type="gramEnd"/>
      <w:r>
        <w:t xml:space="preserve">  same  time,  it  is  important  to note that our analyses do not show high levels of performance for all categories of ex-offenders. Those with less serious criminal records -- admitted with misdemeanor-level waivers -- perform worse than other soldiers across key dimensions of attrition and promotion.  They are   more likely to cut short their term of employment due to poor performance and they are less likely than the average recruit to be promoted, just the opposite of what we find for </w:t>
      </w:r>
      <w:proofErr w:type="gramStart"/>
      <w:r>
        <w:t>felony  ex</w:t>
      </w:r>
      <w:proofErr w:type="gramEnd"/>
      <w:r>
        <w:t xml:space="preserve">-offenders. This may again be a reflection of  the  whole  person  screening  process,  the  criteria for which are more stringent for serious offenders, while recruits with  minor  offenses undergo less scrutiny (CITE).  If  this  is  the  case,  it suggests  that  the  whole  person  screening should be equally  applied  to job  applicants with  more minor infractions. On the other hand, </w:t>
      </w:r>
      <w:proofErr w:type="gramStart"/>
      <w:r>
        <w:t>it  may</w:t>
      </w:r>
      <w:proofErr w:type="gramEnd"/>
      <w:r>
        <w:rPr>
          <w:spacing w:val="32"/>
        </w:rPr>
        <w:t xml:space="preserve"> </w:t>
      </w:r>
      <w:r>
        <w:t>be</w:t>
      </w:r>
      <w:r>
        <w:rPr>
          <w:spacing w:val="31"/>
        </w:rPr>
        <w:t xml:space="preserve"> </w:t>
      </w:r>
      <w:r>
        <w:t>the</w:t>
      </w:r>
      <w:r>
        <w:rPr>
          <w:spacing w:val="33"/>
        </w:rPr>
        <w:t xml:space="preserve"> </w:t>
      </w:r>
      <w:r>
        <w:t>case</w:t>
      </w:r>
      <w:r>
        <w:rPr>
          <w:spacing w:val="34"/>
        </w:rPr>
        <w:t xml:space="preserve"> </w:t>
      </w:r>
      <w:r>
        <w:t>that</w:t>
      </w:r>
      <w:r>
        <w:rPr>
          <w:spacing w:val="33"/>
        </w:rPr>
        <w:t xml:space="preserve"> </w:t>
      </w:r>
      <w:r>
        <w:t>the</w:t>
      </w:r>
      <w:r>
        <w:rPr>
          <w:spacing w:val="33"/>
        </w:rPr>
        <w:t xml:space="preserve"> </w:t>
      </w:r>
      <w:r>
        <w:t>severity</w:t>
      </w:r>
      <w:r>
        <w:rPr>
          <w:spacing w:val="31"/>
        </w:rPr>
        <w:t xml:space="preserve"> </w:t>
      </w:r>
      <w:r>
        <w:t>of</w:t>
      </w:r>
      <w:r>
        <w:rPr>
          <w:spacing w:val="33"/>
        </w:rPr>
        <w:t xml:space="preserve"> </w:t>
      </w:r>
      <w:r>
        <w:t>the</w:t>
      </w:r>
      <w:r>
        <w:rPr>
          <w:spacing w:val="33"/>
        </w:rPr>
        <w:t xml:space="preserve"> </w:t>
      </w:r>
      <w:r>
        <w:t>offense</w:t>
      </w:r>
      <w:r>
        <w:rPr>
          <w:spacing w:val="33"/>
        </w:rPr>
        <w:t xml:space="preserve"> </w:t>
      </w:r>
      <w:r>
        <w:t>is</w:t>
      </w:r>
      <w:r>
        <w:rPr>
          <w:spacing w:val="32"/>
        </w:rPr>
        <w:t xml:space="preserve"> </w:t>
      </w:r>
      <w:r>
        <w:t>less</w:t>
      </w:r>
    </w:p>
    <w:p w:rsidR="0031076A" w:rsidRDefault="00E0098D">
      <w:pPr>
        <w:pStyle w:val="BodyText"/>
        <w:spacing w:before="10"/>
        <w:rPr>
          <w:sz w:val="14"/>
        </w:rPr>
      </w:pPr>
      <w:r>
        <w:rPr>
          <w:noProof/>
        </w:rPr>
        <mc:AlternateContent>
          <mc:Choice Requires="wps">
            <w:drawing>
              <wp:anchor distT="0" distB="0" distL="0" distR="0" simplePos="0" relativeHeight="251664896" behindDoc="0" locked="0" layoutInCell="1" allowOverlap="1">
                <wp:simplePos x="0" y="0"/>
                <wp:positionH relativeFrom="page">
                  <wp:posOffset>914400</wp:posOffset>
                </wp:positionH>
                <wp:positionV relativeFrom="paragraph">
                  <wp:posOffset>135890</wp:posOffset>
                </wp:positionV>
                <wp:extent cx="1829435" cy="0"/>
                <wp:effectExtent l="9525" t="12065" r="8890" b="698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7pt" to="216.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00QEgIAACg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" strokeweight=".72pt">
                <w10:wrap type="topAndBottom" anchorx="page"/>
              </v:line>
            </w:pict>
          </mc:Fallback>
        </mc:AlternateContent>
      </w:r>
    </w:p>
    <w:p w:rsidR="0031076A" w:rsidRDefault="00935374">
      <w:pPr>
        <w:spacing w:before="47" w:line="244" w:lineRule="auto"/>
        <w:ind w:left="120" w:right="434"/>
        <w:rPr>
          <w:sz w:val="20"/>
        </w:rPr>
      </w:pPr>
      <w:r>
        <w:rPr>
          <w:rFonts w:ascii="Calibri" w:hAnsi="Calibri"/>
          <w:position w:val="10"/>
          <w:sz w:val="14"/>
        </w:rPr>
        <w:t xml:space="preserve">19 </w:t>
      </w:r>
      <w:r>
        <w:rPr>
          <w:sz w:val="20"/>
        </w:rPr>
        <w:t>Similar views are expressed by some civilian employers who hire ex-offenders. For example, one employer reported that he “liked hiring people who had just come out of prison because they tend to be more motivated, and are more likely to be hard workers” (Pager 2007: XX).</w:t>
      </w:r>
    </w:p>
    <w:p w:rsidR="0031076A" w:rsidRDefault="0031076A">
      <w:pPr>
        <w:spacing w:line="244" w:lineRule="auto"/>
        <w:rPr>
          <w:sz w:val="20"/>
        </w:rPr>
        <w:sectPr w:rsidR="0031076A">
          <w:pgSz w:w="12240" w:h="15840"/>
          <w:pgMar w:top="1500" w:right="1320" w:bottom="280" w:left="1320" w:header="720" w:footer="720" w:gutter="0"/>
          <w:cols w:space="720"/>
        </w:sectPr>
      </w:pPr>
    </w:p>
    <w:p w:rsidR="0031076A" w:rsidRDefault="0031076A">
      <w:pPr>
        <w:pStyle w:val="BodyText"/>
        <w:spacing w:before="8"/>
        <w:rPr>
          <w:sz w:val="11"/>
        </w:rPr>
      </w:pPr>
    </w:p>
    <w:p w:rsidR="0031076A" w:rsidRDefault="00935374">
      <w:pPr>
        <w:pStyle w:val="BodyText"/>
        <w:spacing w:before="77" w:line="480" w:lineRule="auto"/>
        <w:ind w:left="100" w:right="116"/>
        <w:jc w:val="both"/>
      </w:pPr>
      <w:proofErr w:type="gramStart"/>
      <w:r>
        <w:t>predictive</w:t>
      </w:r>
      <w:proofErr w:type="gramEnd"/>
      <w:r>
        <w:t xml:space="preserve"> of employment success than a history of repeat low-level offending, particularly in highly structured environments like  the  military.  </w:t>
      </w:r>
      <w:proofErr w:type="gramStart"/>
      <w:r>
        <w:t>Additional  research</w:t>
      </w:r>
      <w:proofErr w:type="gramEnd"/>
      <w:r>
        <w:t xml:space="preserve">  with  more  detailed information on criminal histories would help to answer some of these remaining questions.</w:t>
      </w:r>
    </w:p>
    <w:p w:rsidR="0031076A" w:rsidRDefault="00935374">
      <w:pPr>
        <w:pStyle w:val="BodyText"/>
        <w:spacing w:line="480" w:lineRule="auto"/>
        <w:ind w:left="100" w:right="115" w:firstLine="719"/>
        <w:jc w:val="both"/>
      </w:pPr>
      <w:r>
        <w:t xml:space="preserve">Another unexpected finding is the high death rate of felony waivers compared to other recruits. A waived recruit’s offender status is sealed once they enlist so as to protect them from labeling bias as they move through their military career. However, different branches have differing policies on when occupations are assigned. In the Army and Marines, recruiters (who are aware of waiver status) tend to play a larger role in occupational assignment, whereas Navy and Air Force assignments fall largely to commanders following basic training (Powers 2014). Our samples </w:t>
      </w:r>
      <w:proofErr w:type="gramStart"/>
      <w:r>
        <w:t>of  death</w:t>
      </w:r>
      <w:proofErr w:type="gramEnd"/>
      <w:r>
        <w:t xml:space="preserve"> causes are too small to identify reliable patterns by branch, and even then we lack data on occupation. Future research should investigate whether felony waivers are more likely to be assigned to combat duty, placing them at higher risk of death than their non-waiver</w:t>
      </w:r>
      <w:r>
        <w:rPr>
          <w:spacing w:val="-34"/>
        </w:rPr>
        <w:t xml:space="preserve"> </w:t>
      </w:r>
      <w:r>
        <w:t>counterparts.</w:t>
      </w:r>
    </w:p>
    <w:p w:rsidR="0031076A" w:rsidRDefault="0031076A">
      <w:pPr>
        <w:pStyle w:val="BodyText"/>
      </w:pPr>
    </w:p>
    <w:p w:rsidR="0031076A" w:rsidRDefault="0031076A">
      <w:pPr>
        <w:pStyle w:val="BodyText"/>
        <w:spacing w:before="9"/>
        <w:rPr>
          <w:sz w:val="23"/>
        </w:rPr>
      </w:pPr>
    </w:p>
    <w:p w:rsidR="0031076A" w:rsidRPr="00695104" w:rsidRDefault="00935374">
      <w:pPr>
        <w:pStyle w:val="BodyText"/>
        <w:ind w:left="100"/>
        <w:jc w:val="both"/>
        <w:rPr>
          <w:b/>
        </w:rPr>
      </w:pPr>
      <w:r w:rsidRPr="00695104">
        <w:rPr>
          <w:b/>
        </w:rPr>
        <w:t>CONCLUSION</w:t>
      </w:r>
    </w:p>
    <w:p w:rsidR="0031076A" w:rsidRPr="00695104" w:rsidRDefault="0031076A">
      <w:pPr>
        <w:pStyle w:val="BodyText"/>
        <w:rPr>
          <w:b/>
        </w:rPr>
      </w:pPr>
    </w:p>
    <w:p w:rsidR="0031076A" w:rsidRPr="00695104" w:rsidRDefault="00935374">
      <w:pPr>
        <w:pStyle w:val="BodyText"/>
        <w:spacing w:line="480" w:lineRule="auto"/>
        <w:ind w:left="100" w:right="116" w:firstLine="719"/>
        <w:jc w:val="both"/>
        <w:rPr>
          <w:b/>
        </w:rPr>
      </w:pPr>
      <w:r w:rsidRPr="00695104">
        <w:rPr>
          <w:b/>
        </w:rPr>
        <w:t>Employers have legitimate concerns about hiring employees with a criminal past, but there has been little available evidence to assess whether or not their expectations are borne out in the workplace.  Our research demonstrates that, given a holistic screening process, hiring ex-felons   can result in adequate, and even advantageous, worker</w:t>
      </w:r>
      <w:r w:rsidRPr="00695104">
        <w:rPr>
          <w:b/>
          <w:spacing w:val="-23"/>
        </w:rPr>
        <w:t xml:space="preserve"> </w:t>
      </w:r>
      <w:r w:rsidRPr="00695104">
        <w:rPr>
          <w:b/>
        </w:rPr>
        <w:t>outcomes.</w:t>
      </w:r>
    </w:p>
    <w:p w:rsidR="0031076A" w:rsidRDefault="00935374">
      <w:pPr>
        <w:pStyle w:val="BodyText"/>
        <w:spacing w:line="480" w:lineRule="auto"/>
        <w:ind w:left="100" w:right="117" w:firstLine="719"/>
        <w:jc w:val="both"/>
      </w:pPr>
      <w:r>
        <w:t>To what extent can these findings generalize to the civilian labor market? As discussed above, the military has several unique characteristics that distinguish it from typical civilian jobs: It is a highly structured environment in which soldiers both live and work. Hierarchy, authority, and discipline are at a premium in this context, with a high degree of surveillance across all aspects of performance. It is difficult to know whether this setting is a best-case or worst-case scenario for the</w:t>
      </w:r>
    </w:p>
    <w:p w:rsidR="0031076A" w:rsidRDefault="0031076A">
      <w:pPr>
        <w:spacing w:line="480" w:lineRule="auto"/>
        <w:jc w:val="both"/>
        <w:sectPr w:rsidR="0031076A">
          <w:pgSz w:w="12240" w:h="15840"/>
          <w:pgMar w:top="1500" w:right="1320" w:bottom="280" w:left="1340" w:header="720" w:footer="720" w:gutter="0"/>
          <w:cols w:space="720"/>
        </w:sectPr>
      </w:pPr>
    </w:p>
    <w:p w:rsidR="0031076A" w:rsidRDefault="0031076A">
      <w:pPr>
        <w:pStyle w:val="BodyText"/>
        <w:spacing w:before="8"/>
        <w:rPr>
          <w:sz w:val="11"/>
        </w:rPr>
      </w:pPr>
    </w:p>
    <w:p w:rsidR="0031076A" w:rsidRDefault="00935374">
      <w:pPr>
        <w:pStyle w:val="BodyText"/>
        <w:spacing w:before="77" w:line="480" w:lineRule="auto"/>
        <w:ind w:left="100" w:right="114"/>
        <w:jc w:val="both"/>
      </w:pPr>
      <w:proofErr w:type="gramStart"/>
      <w:r>
        <w:t>successful</w:t>
      </w:r>
      <w:proofErr w:type="gramEnd"/>
      <w:r>
        <w:t xml:space="preserve"> integration of ex-offenders. Highly structured environments can be helpful for those who </w:t>
      </w:r>
      <w:proofErr w:type="gramStart"/>
      <w:r>
        <w:t>have  made</w:t>
      </w:r>
      <w:proofErr w:type="gramEnd"/>
      <w:r>
        <w:t xml:space="preserve">  poor decisions in the past. On the other hand, the strict emphasis on </w:t>
      </w:r>
      <w:proofErr w:type="gramStart"/>
      <w:r>
        <w:t>hierarchy  and</w:t>
      </w:r>
      <w:proofErr w:type="gramEnd"/>
      <w:r>
        <w:t xml:space="preserve"> discipline is likely to be challenging, particularly for those who have had negative experiences with authority  figures.  Yet  there  is  also  the  belief  that  the  military  setting  is  not  different enough  to change  behaviors. For example, a former Navy </w:t>
      </w:r>
      <w:proofErr w:type="gramStart"/>
      <w:r>
        <w:t>judge  and</w:t>
      </w:r>
      <w:proofErr w:type="gramEnd"/>
      <w:r>
        <w:t xml:space="preserve"> current Law School Dean  was quoted, “</w:t>
      </w:r>
      <w:r>
        <w:rPr>
          <w:i/>
        </w:rPr>
        <w:t>Somebody who has demonstrated themselves to be guilty of misbehavior in civilian life has a   good chance of behaving in the same way in the military.</w:t>
      </w:r>
      <w:r>
        <w:t xml:space="preserve">” </w:t>
      </w:r>
      <w:proofErr w:type="gramStart"/>
      <w:r>
        <w:t>(Bender 2007).</w:t>
      </w:r>
      <w:proofErr w:type="gramEnd"/>
      <w:r>
        <w:t xml:space="preserve">  We remain agnostic as </w:t>
      </w:r>
      <w:proofErr w:type="gramStart"/>
      <w:r>
        <w:t>to  whether</w:t>
      </w:r>
      <w:proofErr w:type="gramEnd"/>
      <w:r>
        <w:t xml:space="preserve"> the typical civilian employment context would have stronger or weaker results, given  similar conditions of entry. We encourage future research to replicate this research in civilian contexts. Given  the  widespread adoption of Ban the Box laws throughout the country (delaying  the presentation of criminal record information until the end stages of the employment process as an effort to promote the employment of ex-offenders), we may see increasing opportunities to observe ex-offenders across a wide range of workplace</w:t>
      </w:r>
      <w:r>
        <w:rPr>
          <w:spacing w:val="-18"/>
        </w:rPr>
        <w:t xml:space="preserve"> </w:t>
      </w:r>
      <w:r>
        <w:t>contexts.</w:t>
      </w:r>
    </w:p>
    <w:p w:rsidR="0031076A" w:rsidRDefault="00935374">
      <w:pPr>
        <w:pStyle w:val="BodyText"/>
        <w:spacing w:line="480" w:lineRule="auto"/>
        <w:ind w:left="100" w:right="113" w:firstLine="719"/>
        <w:jc w:val="both"/>
      </w:pPr>
      <w:r>
        <w:t>Importantly, the military’s “whole person” review bears striking similarity to the EEOC guidelines for reviewing applicants with criminal records, which emphasizes an individualized assessment that takes into consideration the nature of the crime, time since conviction, and evidence of rehabilitation. This, paired with employers’ standard practice of reviewing the applicant’s skills and experience and speaking with their references, offers the opportunity for the kind of holistic review that has proved successful in the military context. Unfortunately, the existing research on employers’ assessments of applicants with criminal records suggests that this individualized review is far from the norm. Rather, employers appear to use criminal records as an easy screen to weed out applicants at the early stages of review (</w:t>
      </w:r>
      <w:proofErr w:type="spellStart"/>
      <w:r>
        <w:t>Holzer</w:t>
      </w:r>
      <w:proofErr w:type="spellEnd"/>
      <w:r>
        <w:t xml:space="preserve"> 1996; Pager 2003). Given the findings of </w:t>
      </w:r>
      <w:proofErr w:type="gramStart"/>
      <w:r>
        <w:t>our  research</w:t>
      </w:r>
      <w:proofErr w:type="gramEnd"/>
      <w:r>
        <w:t>,</w:t>
      </w:r>
      <w:r>
        <w:rPr>
          <w:spacing w:val="13"/>
        </w:rPr>
        <w:t xml:space="preserve"> </w:t>
      </w:r>
      <w:r>
        <w:t>employers</w:t>
      </w:r>
      <w:r>
        <w:rPr>
          <w:spacing w:val="10"/>
        </w:rPr>
        <w:t xml:space="preserve"> </w:t>
      </w:r>
      <w:r>
        <w:t>may</w:t>
      </w:r>
      <w:r>
        <w:rPr>
          <w:spacing w:val="13"/>
        </w:rPr>
        <w:t xml:space="preserve"> </w:t>
      </w:r>
      <w:r>
        <w:t>thus</w:t>
      </w:r>
      <w:r>
        <w:rPr>
          <w:spacing w:val="11"/>
        </w:rPr>
        <w:t xml:space="preserve"> </w:t>
      </w:r>
      <w:r>
        <w:t>be</w:t>
      </w:r>
      <w:r>
        <w:rPr>
          <w:spacing w:val="12"/>
        </w:rPr>
        <w:t xml:space="preserve"> </w:t>
      </w:r>
      <w:r>
        <w:t>missing</w:t>
      </w:r>
      <w:r>
        <w:rPr>
          <w:spacing w:val="12"/>
        </w:rPr>
        <w:t xml:space="preserve"> </w:t>
      </w:r>
      <w:r>
        <w:t>out</w:t>
      </w:r>
      <w:r>
        <w:rPr>
          <w:spacing w:val="14"/>
        </w:rPr>
        <w:t xml:space="preserve"> </w:t>
      </w:r>
      <w:r>
        <w:t>on</w:t>
      </w:r>
      <w:r>
        <w:rPr>
          <w:spacing w:val="14"/>
        </w:rPr>
        <w:t xml:space="preserve"> </w:t>
      </w:r>
      <w:r>
        <w:t>a</w:t>
      </w:r>
      <w:r>
        <w:rPr>
          <w:spacing w:val="12"/>
        </w:rPr>
        <w:t xml:space="preserve"> </w:t>
      </w:r>
      <w:r>
        <w:t>large</w:t>
      </w:r>
      <w:r>
        <w:rPr>
          <w:spacing w:val="13"/>
        </w:rPr>
        <w:t xml:space="preserve"> </w:t>
      </w:r>
      <w:r>
        <w:t>number</w:t>
      </w:r>
      <w:r>
        <w:rPr>
          <w:spacing w:val="12"/>
        </w:rPr>
        <w:t xml:space="preserve"> </w:t>
      </w:r>
      <w:r>
        <w:t>of</w:t>
      </w:r>
      <w:r>
        <w:rPr>
          <w:spacing w:val="11"/>
        </w:rPr>
        <w:t xml:space="preserve"> </w:t>
      </w:r>
      <w:r>
        <w:t>potentially</w:t>
      </w:r>
      <w:r>
        <w:rPr>
          <w:spacing w:val="13"/>
        </w:rPr>
        <w:t xml:space="preserve"> </w:t>
      </w:r>
      <w:r>
        <w:t>high</w:t>
      </w:r>
      <w:r>
        <w:rPr>
          <w:spacing w:val="12"/>
        </w:rPr>
        <w:t xml:space="preserve"> </w:t>
      </w:r>
      <w:r>
        <w:t>quality</w:t>
      </w:r>
      <w:r>
        <w:rPr>
          <w:spacing w:val="13"/>
        </w:rPr>
        <w:t xml:space="preserve"> </w:t>
      </w:r>
      <w:r>
        <w:t>workers</w:t>
      </w:r>
    </w:p>
    <w:p w:rsidR="0031076A" w:rsidRDefault="0031076A">
      <w:pPr>
        <w:spacing w:line="480" w:lineRule="auto"/>
        <w:jc w:val="both"/>
        <w:sectPr w:rsidR="0031076A">
          <w:pgSz w:w="12240" w:h="15840"/>
          <w:pgMar w:top="1500" w:right="1320" w:bottom="280" w:left="1340" w:header="720" w:footer="720" w:gutter="0"/>
          <w:cols w:space="720"/>
        </w:sectPr>
      </w:pPr>
    </w:p>
    <w:p w:rsidR="0031076A" w:rsidRDefault="0031076A">
      <w:pPr>
        <w:pStyle w:val="BodyText"/>
        <w:spacing w:before="8"/>
        <w:rPr>
          <w:sz w:val="11"/>
        </w:rPr>
      </w:pPr>
    </w:p>
    <w:p w:rsidR="0031076A" w:rsidRDefault="00935374">
      <w:pPr>
        <w:pStyle w:val="BodyText"/>
        <w:spacing w:before="77" w:line="480" w:lineRule="auto"/>
        <w:ind w:left="100" w:right="121"/>
        <w:jc w:val="both"/>
      </w:pPr>
      <w:proofErr w:type="gramStart"/>
      <w:r>
        <w:t>who</w:t>
      </w:r>
      <w:proofErr w:type="gramEnd"/>
      <w:r>
        <w:t xml:space="preserve"> are disqualified by virtue of their criminal record. Efforts to encourage a more holistic </w:t>
      </w:r>
      <w:proofErr w:type="gramStart"/>
      <w:r>
        <w:t>review  of</w:t>
      </w:r>
      <w:proofErr w:type="gramEnd"/>
      <w:r>
        <w:t xml:space="preserve"> these candidates, such as Ban the Box laws which delay the introduction of discrediting information, may be helpful in this</w:t>
      </w:r>
      <w:r>
        <w:rPr>
          <w:spacing w:val="-14"/>
        </w:rPr>
        <w:t xml:space="preserve"> </w:t>
      </w:r>
      <w:r>
        <w:t>regard.</w:t>
      </w:r>
    </w:p>
    <w:p w:rsidR="0031076A" w:rsidRDefault="00935374">
      <w:pPr>
        <w:pStyle w:val="BodyText"/>
        <w:spacing w:line="480" w:lineRule="auto"/>
        <w:ind w:left="100" w:right="113" w:firstLine="719"/>
        <w:jc w:val="both"/>
      </w:pPr>
      <w:r>
        <w:t xml:space="preserve">Finally,  we  wish  to  emphasize  that  the  work  performance  of  ex-offenders  is  both an outcome and  a  treatment.  In  the  present  study  we  have  examined  the  work  performance of individuals with felony waivers as a key outcome for investigating the integration of ex-offenders into the workplace. But work experience has an impact in and of itself. Evidence suggests that </w:t>
      </w:r>
      <w:r>
        <w:rPr>
          <w:spacing w:val="3"/>
        </w:rPr>
        <w:t xml:space="preserve">ex- </w:t>
      </w:r>
      <w:r>
        <w:t xml:space="preserve">offenders who find employment are significantly less likely to recidivate (OPRE 2012, </w:t>
      </w:r>
      <w:proofErr w:type="spellStart"/>
      <w:r>
        <w:t>Uggen</w:t>
      </w:r>
      <w:proofErr w:type="spellEnd"/>
      <w:r>
        <w:t xml:space="preserve"> 2000). Work experience following a spell of incarceration has also been shown to reduce the stigma of a criminal record (Pager, 2007). Similar benefits may attach to ex-offenders with intervening military service. In this sense, the enlistment or employment of ex-offenders   may have beneficial effects for the </w:t>
      </w:r>
      <w:proofErr w:type="gramStart"/>
      <w:r>
        <w:t>workplace  as</w:t>
      </w:r>
      <w:proofErr w:type="gramEnd"/>
      <w:r>
        <w:t xml:space="preserve"> well as benefits for the longer  term integration   and wellbeing of ex-offenders within their  </w:t>
      </w:r>
      <w:r>
        <w:rPr>
          <w:spacing w:val="6"/>
        </w:rPr>
        <w:t xml:space="preserve"> </w:t>
      </w:r>
      <w:r>
        <w:t>communities.</w:t>
      </w:r>
    </w:p>
    <w:p w:rsidR="0031076A" w:rsidRDefault="0031076A">
      <w:pPr>
        <w:spacing w:line="480" w:lineRule="auto"/>
        <w:jc w:val="both"/>
        <w:sectPr w:rsidR="0031076A">
          <w:pgSz w:w="12240" w:h="15840"/>
          <w:pgMar w:top="1500" w:right="1320" w:bottom="280" w:left="1340" w:header="720" w:footer="720" w:gutter="0"/>
          <w:cols w:space="720"/>
        </w:sectPr>
      </w:pPr>
    </w:p>
    <w:p w:rsidR="0031076A" w:rsidRDefault="0031076A">
      <w:pPr>
        <w:pStyle w:val="BodyText"/>
        <w:rPr>
          <w:sz w:val="20"/>
        </w:rPr>
      </w:pPr>
    </w:p>
    <w:p w:rsidR="0031076A" w:rsidRDefault="0031076A">
      <w:pPr>
        <w:pStyle w:val="BodyText"/>
        <w:rPr>
          <w:sz w:val="20"/>
        </w:rPr>
      </w:pPr>
    </w:p>
    <w:p w:rsidR="0031076A" w:rsidRDefault="0031076A">
      <w:pPr>
        <w:pStyle w:val="BodyText"/>
        <w:spacing w:before="5"/>
        <w:rPr>
          <w:sz w:val="19"/>
        </w:rPr>
      </w:pPr>
    </w:p>
    <w:p w:rsidR="0031076A" w:rsidRDefault="00935374">
      <w:pPr>
        <w:pStyle w:val="Heading2"/>
        <w:spacing w:before="77"/>
        <w:ind w:left="109" w:right="205"/>
        <w:rPr>
          <w:rFonts w:ascii="Garamond"/>
        </w:rPr>
      </w:pPr>
      <w:r>
        <w:rPr>
          <w:rFonts w:ascii="Garamond"/>
        </w:rPr>
        <w:t>REFERENCES</w:t>
      </w:r>
    </w:p>
    <w:p w:rsidR="0031076A" w:rsidRDefault="0031076A">
      <w:pPr>
        <w:pStyle w:val="BodyText"/>
        <w:spacing w:before="8"/>
        <w:rPr>
          <w:b/>
          <w:sz w:val="23"/>
        </w:rPr>
      </w:pPr>
    </w:p>
    <w:p w:rsidR="0031076A" w:rsidRDefault="00935374">
      <w:pPr>
        <w:pStyle w:val="BodyText"/>
        <w:spacing w:before="1"/>
        <w:ind w:left="109" w:right="109"/>
      </w:pPr>
      <w:proofErr w:type="gramStart"/>
      <w:r>
        <w:t xml:space="preserve">10 U.S.C. </w:t>
      </w:r>
      <w:r>
        <w:rPr>
          <w:spacing w:val="-2"/>
        </w:rPr>
        <w:t>5</w:t>
      </w:r>
      <w:r>
        <w:t>04</w:t>
      </w:r>
      <w:r>
        <w:rPr>
          <w:spacing w:val="1"/>
        </w:rPr>
        <w:t xml:space="preserve"> </w:t>
      </w:r>
      <w:hyperlink r:id="rId7">
        <w:r>
          <w:rPr>
            <w:color w:val="1154CC"/>
            <w:spacing w:val="-1"/>
            <w:u w:val="single" w:color="1154CC"/>
          </w:rPr>
          <w:t>http</w:t>
        </w:r>
        <w:r>
          <w:rPr>
            <w:color w:val="1154CC"/>
            <w:spacing w:val="-2"/>
            <w:u w:val="single" w:color="1154CC"/>
          </w:rPr>
          <w:t>s</w:t>
        </w:r>
        <w:r>
          <w:rPr>
            <w:color w:val="1154CC"/>
            <w:u w:val="single" w:color="1154CC"/>
          </w:rPr>
          <w:t>://w</w:t>
        </w:r>
        <w:r>
          <w:rPr>
            <w:color w:val="1154CC"/>
            <w:spacing w:val="-2"/>
            <w:u w:val="single" w:color="1154CC"/>
          </w:rPr>
          <w:t>w</w:t>
        </w:r>
        <w:r>
          <w:rPr>
            <w:color w:val="1154CC"/>
            <w:u w:val="single" w:color="1154CC"/>
          </w:rPr>
          <w:t>w.g</w:t>
        </w:r>
        <w:r>
          <w:rPr>
            <w:color w:val="1154CC"/>
            <w:spacing w:val="-1"/>
            <w:u w:val="single" w:color="1154CC"/>
          </w:rPr>
          <w:t>po.</w:t>
        </w:r>
        <w:r>
          <w:rPr>
            <w:color w:val="1154CC"/>
            <w:u w:val="single" w:color="1154CC"/>
          </w:rPr>
          <w:t>g</w:t>
        </w:r>
        <w:r>
          <w:rPr>
            <w:color w:val="1154CC"/>
            <w:spacing w:val="-1"/>
            <w:u w:val="single" w:color="1154CC"/>
          </w:rPr>
          <w:t>ov/fd</w:t>
        </w:r>
        <w:r>
          <w:rPr>
            <w:color w:val="1154CC"/>
            <w:spacing w:val="-2"/>
            <w:u w:val="single" w:color="1154CC"/>
          </w:rPr>
          <w:t>s</w:t>
        </w:r>
        <w:r>
          <w:rPr>
            <w:color w:val="1154CC"/>
            <w:u w:val="single" w:color="1154CC"/>
          </w:rPr>
          <w:t>ys/g</w:t>
        </w:r>
        <w:r>
          <w:rPr>
            <w:color w:val="1154CC"/>
            <w:spacing w:val="-2"/>
            <w:u w:val="single" w:color="1154CC"/>
          </w:rPr>
          <w:t>r</w:t>
        </w:r>
        <w:r>
          <w:rPr>
            <w:color w:val="1154CC"/>
            <w:u w:val="single" w:color="1154CC"/>
          </w:rPr>
          <w:t>a</w:t>
        </w:r>
        <w:r>
          <w:rPr>
            <w:color w:val="1154CC"/>
            <w:spacing w:val="-1"/>
            <w:u w:val="single" w:color="1154CC"/>
          </w:rPr>
          <w:t>nul</w:t>
        </w:r>
        <w:r>
          <w:rPr>
            <w:color w:val="1154CC"/>
            <w:spacing w:val="-2"/>
            <w:u w:val="single" w:color="1154CC"/>
          </w:rPr>
          <w:t>e</w:t>
        </w:r>
        <w:r>
          <w:rPr>
            <w:color w:val="1154CC"/>
            <w:u w:val="single" w:color="1154CC"/>
          </w:rPr>
          <w:t>/USC</w:t>
        </w:r>
        <w:r>
          <w:rPr>
            <w:color w:val="1154CC"/>
            <w:spacing w:val="-1"/>
            <w:u w:val="single" w:color="1154CC"/>
          </w:rPr>
          <w:t>OD</w:t>
        </w:r>
        <w:r>
          <w:rPr>
            <w:color w:val="1154CC"/>
            <w:spacing w:val="3"/>
            <w:u w:val="single" w:color="1154CC"/>
          </w:rPr>
          <w:t>E</w:t>
        </w:r>
        <w:r>
          <w:rPr>
            <w:color w:val="1154CC"/>
            <w:spacing w:val="-1"/>
            <w:u w:val="single" w:color="1154CC"/>
          </w:rPr>
          <w:t>-</w:t>
        </w:r>
        <w:r>
          <w:rPr>
            <w:color w:val="1154CC"/>
            <w:u w:val="single" w:color="1154CC"/>
          </w:rPr>
          <w:t>2010</w:t>
        </w:r>
        <w:r>
          <w:rPr>
            <w:color w:val="1154CC"/>
            <w:spacing w:val="-1"/>
            <w:u w:val="single" w:color="1154CC"/>
          </w:rPr>
          <w:t>-</w:t>
        </w:r>
        <w:r>
          <w:rPr>
            <w:color w:val="1154CC"/>
            <w:u w:val="single" w:color="1154CC"/>
          </w:rPr>
          <w:t>ti</w:t>
        </w:r>
        <w:r>
          <w:rPr>
            <w:color w:val="1154CC"/>
            <w:spacing w:val="-1"/>
            <w:u w:val="single" w:color="1154CC"/>
          </w:rPr>
          <w:t>t</w:t>
        </w:r>
        <w:r>
          <w:rPr>
            <w:color w:val="1154CC"/>
            <w:u w:val="single" w:color="1154CC"/>
          </w:rPr>
          <w:t>le10</w:t>
        </w:r>
        <w:r>
          <w:rPr>
            <w:color w:val="1154CC"/>
            <w:spacing w:val="-2"/>
            <w:u w:val="single" w:color="1154CC"/>
          </w:rPr>
          <w:t>/</w:t>
        </w:r>
        <w:r>
          <w:rPr>
            <w:color w:val="1154CC"/>
            <w:spacing w:val="-1"/>
            <w:u w:val="single" w:color="1154CC"/>
          </w:rPr>
          <w:t>U</w:t>
        </w:r>
        <w:r>
          <w:rPr>
            <w:color w:val="1154CC"/>
            <w:u w:val="single" w:color="1154CC"/>
          </w:rPr>
          <w:t>SC</w:t>
        </w:r>
        <w:r>
          <w:rPr>
            <w:color w:val="1154CC"/>
            <w:spacing w:val="-1"/>
            <w:u w:val="single" w:color="1154CC"/>
          </w:rPr>
          <w:t>OD</w:t>
        </w:r>
        <w:r>
          <w:rPr>
            <w:color w:val="1154CC"/>
            <w:spacing w:val="1"/>
            <w:u w:val="single" w:color="1154CC"/>
          </w:rPr>
          <w:t>E</w:t>
        </w:r>
        <w:r>
          <w:rPr>
            <w:color w:val="1154CC"/>
            <w:spacing w:val="-1"/>
            <w:u w:val="single" w:color="1154CC"/>
          </w:rPr>
          <w:t>-</w:t>
        </w:r>
        <w:r>
          <w:rPr>
            <w:color w:val="1154CC"/>
            <w:u w:val="single" w:color="1154CC"/>
          </w:rPr>
          <w:t>2010</w:t>
        </w:r>
        <w:r>
          <w:rPr>
            <w:color w:val="1154CC"/>
            <w:spacing w:val="-1"/>
            <w:u w:val="single" w:color="1154CC"/>
          </w:rPr>
          <w:t>-</w:t>
        </w:r>
        <w:r>
          <w:rPr>
            <w:color w:val="1154CC"/>
            <w:u w:val="single" w:color="1154CC"/>
          </w:rPr>
          <w:t>ti</w:t>
        </w:r>
        <w:r>
          <w:rPr>
            <w:color w:val="1154CC"/>
            <w:spacing w:val="-1"/>
            <w:u w:val="single" w:color="1154CC"/>
          </w:rPr>
          <w:t>t</w:t>
        </w:r>
        <w:r>
          <w:rPr>
            <w:color w:val="1154CC"/>
            <w:u w:val="single" w:color="1154CC"/>
          </w:rPr>
          <w:t>le10-</w:t>
        </w:r>
      </w:hyperlink>
      <w:r>
        <w:rPr>
          <w:color w:val="1154CC"/>
        </w:rPr>
        <w:t xml:space="preserve"> </w:t>
      </w:r>
      <w:hyperlink r:id="rId8">
        <w:r>
          <w:rPr>
            <w:color w:val="1154CC"/>
            <w:spacing w:val="-2"/>
            <w:u w:val="single" w:color="1154CC"/>
          </w:rPr>
          <w:t>s</w:t>
        </w:r>
        <w:r>
          <w:rPr>
            <w:color w:val="1154CC"/>
            <w:u w:val="single" w:color="1154CC"/>
          </w:rPr>
          <w:t>ubti</w:t>
        </w:r>
        <w:r>
          <w:rPr>
            <w:color w:val="1154CC"/>
            <w:spacing w:val="-1"/>
            <w:u w:val="single" w:color="1154CC"/>
          </w:rPr>
          <w:t>t</w:t>
        </w:r>
        <w:r>
          <w:rPr>
            <w:color w:val="1154CC"/>
            <w:u w:val="single" w:color="1154CC"/>
          </w:rPr>
          <w:t>leA</w:t>
        </w:r>
        <w:r>
          <w:rPr>
            <w:color w:val="1154CC"/>
            <w:spacing w:val="-1"/>
            <w:u w:val="single" w:color="1154CC"/>
          </w:rPr>
          <w:t>-p</w:t>
        </w:r>
        <w:r>
          <w:rPr>
            <w:color w:val="1154CC"/>
            <w:u w:val="single" w:color="1154CC"/>
          </w:rPr>
          <w:t>a</w:t>
        </w:r>
        <w:r>
          <w:rPr>
            <w:color w:val="1154CC"/>
            <w:spacing w:val="-1"/>
            <w:u w:val="single" w:color="1154CC"/>
          </w:rPr>
          <w:t>r</w:t>
        </w:r>
        <w:r>
          <w:rPr>
            <w:color w:val="1154CC"/>
            <w:spacing w:val="-2"/>
            <w:u w:val="single" w:color="1154CC"/>
          </w:rPr>
          <w:t>t</w:t>
        </w:r>
        <w:r>
          <w:rPr>
            <w:color w:val="1154CC"/>
            <w:spacing w:val="-1"/>
            <w:u w:val="single" w:color="1154CC"/>
          </w:rPr>
          <w:t>II-</w:t>
        </w:r>
        <w:r>
          <w:rPr>
            <w:color w:val="1154CC"/>
            <w:u w:val="single" w:color="1154CC"/>
          </w:rPr>
          <w:t>ch</w:t>
        </w:r>
        <w:r>
          <w:rPr>
            <w:color w:val="1154CC"/>
            <w:spacing w:val="1"/>
            <w:u w:val="single" w:color="1154CC"/>
          </w:rPr>
          <w:t>a</w:t>
        </w:r>
        <w:r>
          <w:rPr>
            <w:color w:val="1154CC"/>
            <w:spacing w:val="-1"/>
            <w:u w:val="single" w:color="1154CC"/>
          </w:rPr>
          <w:t>p3</w:t>
        </w:r>
        <w:r>
          <w:rPr>
            <w:color w:val="1154CC"/>
            <w:u w:val="single" w:color="1154CC"/>
          </w:rPr>
          <w:t>1</w:t>
        </w:r>
        <w:r>
          <w:rPr>
            <w:color w:val="1154CC"/>
            <w:spacing w:val="-1"/>
            <w:u w:val="single" w:color="1154CC"/>
          </w:rPr>
          <w:t>-</w:t>
        </w:r>
        <w:r>
          <w:rPr>
            <w:color w:val="1154CC"/>
            <w:spacing w:val="1"/>
            <w:u w:val="single" w:color="1154CC"/>
          </w:rPr>
          <w:t>s</w:t>
        </w:r>
        <w:r>
          <w:rPr>
            <w:color w:val="1154CC"/>
            <w:u w:val="single" w:color="1154CC"/>
          </w:rPr>
          <w:t>e</w:t>
        </w:r>
        <w:r>
          <w:rPr>
            <w:color w:val="1154CC"/>
            <w:spacing w:val="1"/>
            <w:u w:val="single" w:color="1154CC"/>
          </w:rPr>
          <w:t>c</w:t>
        </w:r>
        <w:r>
          <w:rPr>
            <w:color w:val="1154CC"/>
            <w:u w:val="single" w:color="1154CC"/>
          </w:rPr>
          <w:t>504</w:t>
        </w:r>
        <w:proofErr w:type="gramEnd"/>
      </w:hyperlink>
    </w:p>
    <w:p w:rsidR="0031076A" w:rsidRDefault="0031076A">
      <w:pPr>
        <w:pStyle w:val="BodyText"/>
        <w:spacing w:before="10"/>
        <w:rPr>
          <w:sz w:val="16"/>
        </w:rPr>
      </w:pPr>
    </w:p>
    <w:p w:rsidR="0031076A" w:rsidRDefault="00935374">
      <w:pPr>
        <w:pStyle w:val="BodyText"/>
        <w:spacing w:before="77"/>
        <w:ind w:left="109" w:right="434"/>
      </w:pPr>
      <w:proofErr w:type="spellStart"/>
      <w:r>
        <w:t>Apel</w:t>
      </w:r>
      <w:proofErr w:type="spellEnd"/>
      <w:r>
        <w:t xml:space="preserve">, Robert and Gary Sweeten. 2010. “The Impact of Incarceration on Employment </w:t>
      </w:r>
      <w:proofErr w:type="gramStart"/>
      <w:r>
        <w:t>During</w:t>
      </w:r>
      <w:proofErr w:type="gramEnd"/>
      <w:r>
        <w:t xml:space="preserve"> the Transition to Adulthood.” </w:t>
      </w:r>
      <w:r>
        <w:rPr>
          <w:i/>
        </w:rPr>
        <w:t xml:space="preserve">Social Problems </w:t>
      </w:r>
      <w:r>
        <w:t>57(3): 448-479.</w:t>
      </w:r>
    </w:p>
    <w:p w:rsidR="0031076A" w:rsidRDefault="0031076A">
      <w:pPr>
        <w:pStyle w:val="BodyText"/>
      </w:pPr>
    </w:p>
    <w:p w:rsidR="0031076A" w:rsidRDefault="00935374">
      <w:pPr>
        <w:pStyle w:val="BodyText"/>
        <w:ind w:left="109" w:right="205"/>
      </w:pPr>
      <w:proofErr w:type="gramStart"/>
      <w:r>
        <w:t>Barnes, Geoffrey C. and Jordan M. Hyatt.</w:t>
      </w:r>
      <w:proofErr w:type="gramEnd"/>
      <w:r>
        <w:t xml:space="preserve"> 2012. “Classifying Adult Probationers by Forecasting Future Offending.” (</w:t>
      </w:r>
      <w:hyperlink r:id="rId9">
        <w:r>
          <w:rPr>
            <w:color w:val="1154CC"/>
            <w:u w:val="single" w:color="1154CC"/>
          </w:rPr>
          <w:t>https://www.ncjrs.gov/pdffiles1/nij/grants/238082.pdf</w:t>
        </w:r>
      </w:hyperlink>
      <w:r>
        <w:t>).</w:t>
      </w:r>
    </w:p>
    <w:p w:rsidR="0031076A" w:rsidRDefault="0031076A">
      <w:pPr>
        <w:pStyle w:val="BodyText"/>
        <w:spacing w:before="2"/>
        <w:rPr>
          <w:sz w:val="17"/>
        </w:rPr>
      </w:pPr>
    </w:p>
    <w:p w:rsidR="0031076A" w:rsidRDefault="00935374">
      <w:pPr>
        <w:pStyle w:val="BodyText"/>
        <w:spacing w:before="77" w:line="269" w:lineRule="exact"/>
        <w:ind w:left="109" w:right="131"/>
      </w:pPr>
      <w:proofErr w:type="gramStart"/>
      <w:r>
        <w:t>Bender, Bryan.</w:t>
      </w:r>
      <w:proofErr w:type="gramEnd"/>
      <w:r>
        <w:t xml:space="preserve"> 2007. “Almost 12% of U.S. Army Recruits Required Waivers for Criminal Records.”</w:t>
      </w:r>
    </w:p>
    <w:p w:rsidR="0031076A" w:rsidRDefault="00935374">
      <w:pPr>
        <w:spacing w:line="269" w:lineRule="exact"/>
        <w:ind w:left="109" w:right="205"/>
        <w:rPr>
          <w:sz w:val="24"/>
        </w:rPr>
      </w:pPr>
      <w:r>
        <w:rPr>
          <w:i/>
          <w:sz w:val="24"/>
        </w:rPr>
        <w:t xml:space="preserve">The New York Times, </w:t>
      </w:r>
      <w:r>
        <w:rPr>
          <w:sz w:val="24"/>
        </w:rPr>
        <w:t>July 13.</w:t>
      </w:r>
    </w:p>
    <w:p w:rsidR="0031076A" w:rsidRDefault="0031076A">
      <w:pPr>
        <w:pStyle w:val="BodyText"/>
      </w:pPr>
    </w:p>
    <w:p w:rsidR="0031076A" w:rsidRDefault="00935374">
      <w:pPr>
        <w:pStyle w:val="BodyText"/>
        <w:ind w:left="109" w:right="766"/>
      </w:pPr>
      <w:proofErr w:type="gramStart"/>
      <w:r>
        <w:t xml:space="preserve">Blumstein, Alfred and </w:t>
      </w:r>
      <w:proofErr w:type="spellStart"/>
      <w:r>
        <w:t>Kiminori</w:t>
      </w:r>
      <w:proofErr w:type="spellEnd"/>
      <w:r>
        <w:t xml:space="preserve"> Nakamura.</w:t>
      </w:r>
      <w:proofErr w:type="gramEnd"/>
      <w:r>
        <w:t xml:space="preserve"> 2009. Redemption in the Presence of Widespread Criminal Background Checks. </w:t>
      </w:r>
      <w:r>
        <w:rPr>
          <w:i/>
        </w:rPr>
        <w:t xml:space="preserve">Criminology </w:t>
      </w:r>
      <w:r>
        <w:t>47: 327–359.</w:t>
      </w:r>
    </w:p>
    <w:p w:rsidR="0031076A" w:rsidRDefault="0031076A">
      <w:pPr>
        <w:pStyle w:val="BodyText"/>
      </w:pPr>
    </w:p>
    <w:p w:rsidR="0031076A" w:rsidRDefault="00935374">
      <w:pPr>
        <w:pStyle w:val="BodyText"/>
        <w:ind w:left="109" w:right="131"/>
      </w:pPr>
      <w:proofErr w:type="spellStart"/>
      <w:r>
        <w:t>Boucai</w:t>
      </w:r>
      <w:proofErr w:type="spellEnd"/>
      <w:r>
        <w:t xml:space="preserve">, Michael. 2007. Balancing Your Strengths </w:t>
      </w:r>
      <w:proofErr w:type="gramStart"/>
      <w:r>
        <w:t>Against</w:t>
      </w:r>
      <w:proofErr w:type="gramEnd"/>
      <w:r>
        <w:t xml:space="preserve"> Your Felonies: Considerations for Military Recruitment of Ex-Offenders. </w:t>
      </w:r>
      <w:r>
        <w:rPr>
          <w:i/>
        </w:rPr>
        <w:t xml:space="preserve">University of Miami Law Review </w:t>
      </w:r>
      <w:r>
        <w:t>61(4): 997-1032.</w:t>
      </w:r>
    </w:p>
    <w:p w:rsidR="0031076A" w:rsidRDefault="0031076A">
      <w:pPr>
        <w:pStyle w:val="BodyText"/>
        <w:spacing w:before="8"/>
        <w:rPr>
          <w:sz w:val="23"/>
        </w:rPr>
      </w:pPr>
    </w:p>
    <w:p w:rsidR="0031076A" w:rsidRDefault="00935374">
      <w:pPr>
        <w:spacing w:before="1"/>
        <w:ind w:left="109" w:right="205"/>
        <w:rPr>
          <w:sz w:val="24"/>
        </w:rPr>
      </w:pPr>
      <w:proofErr w:type="spellStart"/>
      <w:proofErr w:type="gramStart"/>
      <w:r>
        <w:rPr>
          <w:sz w:val="24"/>
        </w:rPr>
        <w:t>Bouffard</w:t>
      </w:r>
      <w:proofErr w:type="spellEnd"/>
      <w:r>
        <w:rPr>
          <w:sz w:val="24"/>
        </w:rPr>
        <w:t xml:space="preserve">, </w:t>
      </w:r>
      <w:proofErr w:type="spellStart"/>
      <w:r>
        <w:rPr>
          <w:sz w:val="24"/>
        </w:rPr>
        <w:t>Leana</w:t>
      </w:r>
      <w:proofErr w:type="spellEnd"/>
      <w:r>
        <w:rPr>
          <w:sz w:val="24"/>
        </w:rPr>
        <w:t xml:space="preserve"> Allen and John H. </w:t>
      </w:r>
      <w:proofErr w:type="spellStart"/>
      <w:r>
        <w:rPr>
          <w:sz w:val="24"/>
        </w:rPr>
        <w:t>Laub</w:t>
      </w:r>
      <w:proofErr w:type="spellEnd"/>
      <w:r>
        <w:rPr>
          <w:sz w:val="24"/>
        </w:rPr>
        <w:t xml:space="preserve"> 2004.</w:t>
      </w:r>
      <w:proofErr w:type="gramEnd"/>
      <w:r>
        <w:rPr>
          <w:sz w:val="24"/>
        </w:rPr>
        <w:t xml:space="preserve"> “Jail or the Army: Does Military Service Facilitate Desistance from Crime.” Pp. 129-151 in </w:t>
      </w:r>
      <w:r>
        <w:rPr>
          <w:i/>
          <w:sz w:val="24"/>
        </w:rPr>
        <w:t>After Crime and Punishment: Pathways to Offender Reintegration</w:t>
      </w:r>
      <w:r>
        <w:rPr>
          <w:sz w:val="24"/>
        </w:rPr>
        <w:t xml:space="preserve">, edited by S. </w:t>
      </w:r>
      <w:proofErr w:type="spellStart"/>
      <w:r>
        <w:rPr>
          <w:sz w:val="24"/>
        </w:rPr>
        <w:t>Maruna</w:t>
      </w:r>
      <w:proofErr w:type="spellEnd"/>
      <w:r>
        <w:rPr>
          <w:sz w:val="24"/>
        </w:rPr>
        <w:t xml:space="preserve"> and R. </w:t>
      </w:r>
      <w:proofErr w:type="spellStart"/>
      <w:r>
        <w:rPr>
          <w:sz w:val="24"/>
        </w:rPr>
        <w:t>Immarigeon</w:t>
      </w:r>
      <w:proofErr w:type="spellEnd"/>
      <w:r>
        <w:rPr>
          <w:sz w:val="24"/>
        </w:rPr>
        <w:t xml:space="preserve">. Portland, OR: </w:t>
      </w:r>
      <w:proofErr w:type="spellStart"/>
      <w:r>
        <w:rPr>
          <w:sz w:val="24"/>
        </w:rPr>
        <w:t>Willan</w:t>
      </w:r>
      <w:proofErr w:type="spellEnd"/>
      <w:r>
        <w:rPr>
          <w:sz w:val="24"/>
        </w:rPr>
        <w:t xml:space="preserve"> Publishing.</w:t>
      </w:r>
    </w:p>
    <w:p w:rsidR="0031076A" w:rsidRDefault="0031076A">
      <w:pPr>
        <w:pStyle w:val="BodyText"/>
      </w:pPr>
    </w:p>
    <w:p w:rsidR="0031076A" w:rsidRDefault="00935374">
      <w:pPr>
        <w:ind w:left="109" w:right="503"/>
        <w:rPr>
          <w:sz w:val="24"/>
        </w:rPr>
      </w:pPr>
      <w:proofErr w:type="gramStart"/>
      <w:r>
        <w:rPr>
          <w:sz w:val="24"/>
        </w:rPr>
        <w:t>Bureau of Justice Statistics.</w:t>
      </w:r>
      <w:proofErr w:type="gramEnd"/>
      <w:r>
        <w:rPr>
          <w:sz w:val="24"/>
        </w:rPr>
        <w:t xml:space="preserve"> 2001. </w:t>
      </w:r>
      <w:r>
        <w:rPr>
          <w:i/>
          <w:sz w:val="24"/>
        </w:rPr>
        <w:t xml:space="preserve">Trends in State Parole, 1990-2000. </w:t>
      </w:r>
      <w:r>
        <w:rPr>
          <w:sz w:val="24"/>
        </w:rPr>
        <w:t>Washington, D.C.: United States Department of Justice.</w:t>
      </w:r>
    </w:p>
    <w:p w:rsidR="0031076A" w:rsidRDefault="0031076A">
      <w:pPr>
        <w:pStyle w:val="BodyText"/>
      </w:pPr>
    </w:p>
    <w:p w:rsidR="0031076A" w:rsidRDefault="00935374">
      <w:pPr>
        <w:ind w:left="109" w:right="131"/>
        <w:rPr>
          <w:sz w:val="24"/>
        </w:rPr>
      </w:pPr>
      <w:proofErr w:type="gramStart"/>
      <w:r>
        <w:rPr>
          <w:sz w:val="24"/>
        </w:rPr>
        <w:t>Bureau of Justice Statistics.</w:t>
      </w:r>
      <w:proofErr w:type="gramEnd"/>
      <w:r>
        <w:rPr>
          <w:sz w:val="24"/>
        </w:rPr>
        <w:t xml:space="preserve"> 2014. </w:t>
      </w:r>
      <w:r>
        <w:rPr>
          <w:i/>
          <w:sz w:val="24"/>
        </w:rPr>
        <w:t xml:space="preserve">3 in 4 Former Prisoners in 30 States Arrested Within Five Years of Release. </w:t>
      </w:r>
      <w:r>
        <w:rPr>
          <w:sz w:val="24"/>
        </w:rPr>
        <w:t>Washington, D.C.: United States Department of Jus</w:t>
      </w:r>
      <w:hyperlink r:id="rId10">
        <w:r>
          <w:rPr>
            <w:sz w:val="24"/>
          </w:rPr>
          <w:t>tice.</w:t>
        </w:r>
      </w:hyperlink>
      <w:r>
        <w:rPr>
          <w:sz w:val="24"/>
        </w:rPr>
        <w:t xml:space="preserve"> </w:t>
      </w:r>
      <w:hyperlink r:id="rId11">
        <w:r>
          <w:rPr>
            <w:color w:val="1154CC"/>
            <w:sz w:val="24"/>
            <w:u w:val="single" w:color="1154CC"/>
          </w:rPr>
          <w:t>http://www.bjs.gov/content/pub/press/rprts05p0510pr.cfm</w:t>
        </w:r>
      </w:hyperlink>
    </w:p>
    <w:p w:rsidR="0031076A" w:rsidRDefault="0031076A">
      <w:pPr>
        <w:pStyle w:val="BodyText"/>
        <w:spacing w:before="10"/>
        <w:rPr>
          <w:sz w:val="16"/>
        </w:rPr>
      </w:pPr>
    </w:p>
    <w:p w:rsidR="0031076A" w:rsidRDefault="00935374">
      <w:pPr>
        <w:pStyle w:val="BodyText"/>
        <w:spacing w:before="77"/>
        <w:ind w:left="109" w:right="961"/>
      </w:pPr>
      <w:proofErr w:type="gramStart"/>
      <w:r>
        <w:t>Bureau of Justice Statistics.</w:t>
      </w:r>
      <w:proofErr w:type="gramEnd"/>
      <w:r>
        <w:t xml:space="preserve"> 2015. </w:t>
      </w:r>
      <w:r>
        <w:rPr>
          <w:i/>
        </w:rPr>
        <w:t xml:space="preserve">Prisoners in 2014. </w:t>
      </w:r>
      <w:r>
        <w:t>Washington, D.C.: United States Department of Justice.</w:t>
      </w:r>
    </w:p>
    <w:p w:rsidR="0031076A" w:rsidRDefault="0031076A">
      <w:pPr>
        <w:pStyle w:val="BodyText"/>
        <w:spacing w:before="8"/>
        <w:rPr>
          <w:sz w:val="23"/>
        </w:rPr>
      </w:pPr>
    </w:p>
    <w:p w:rsidR="0031076A" w:rsidRDefault="00935374">
      <w:pPr>
        <w:pStyle w:val="BodyText"/>
        <w:spacing w:before="1"/>
        <w:ind w:left="109" w:right="131"/>
      </w:pPr>
      <w:r>
        <w:t xml:space="preserve">Carson, E. Ann. 2015. </w:t>
      </w:r>
      <w:proofErr w:type="gramStart"/>
      <w:r>
        <w:rPr>
          <w:i/>
        </w:rPr>
        <w:t>Prisoners in 2014.</w:t>
      </w:r>
      <w:proofErr w:type="gramEnd"/>
      <w:r>
        <w:rPr>
          <w:i/>
        </w:rPr>
        <w:t xml:space="preserve"> </w:t>
      </w:r>
      <w:r>
        <w:t>Washington, D.C.: United States Department of Justice.</w:t>
      </w:r>
    </w:p>
    <w:p w:rsidR="0031076A" w:rsidRDefault="0031076A">
      <w:pPr>
        <w:pStyle w:val="BodyText"/>
        <w:spacing w:before="9"/>
        <w:rPr>
          <w:sz w:val="23"/>
        </w:rPr>
      </w:pPr>
    </w:p>
    <w:p w:rsidR="0031076A" w:rsidRDefault="00935374">
      <w:pPr>
        <w:ind w:left="109" w:right="205"/>
        <w:rPr>
          <w:sz w:val="24"/>
        </w:rPr>
      </w:pPr>
      <w:r>
        <w:rPr>
          <w:sz w:val="24"/>
        </w:rPr>
        <w:t xml:space="preserve">Equal Employment Opportunity Commission (EEOC). 2012. </w:t>
      </w:r>
      <w:r>
        <w:rPr>
          <w:i/>
          <w:sz w:val="24"/>
        </w:rPr>
        <w:t xml:space="preserve">Consideration of Arrest and Conviction Records in Employment Decisions </w:t>
      </w:r>
      <w:proofErr w:type="gramStart"/>
      <w:r>
        <w:rPr>
          <w:i/>
          <w:sz w:val="24"/>
        </w:rPr>
        <w:t>Under</w:t>
      </w:r>
      <w:proofErr w:type="gramEnd"/>
      <w:r>
        <w:rPr>
          <w:i/>
          <w:sz w:val="24"/>
        </w:rPr>
        <w:t xml:space="preserve"> Title VII of the Civil Rights Act of 1964 </w:t>
      </w:r>
      <w:r>
        <w:rPr>
          <w:sz w:val="24"/>
        </w:rPr>
        <w:t>(No. 915.002). Washington</w:t>
      </w:r>
    </w:p>
    <w:p w:rsidR="0031076A" w:rsidRDefault="00935374">
      <w:pPr>
        <w:pStyle w:val="BodyText"/>
        <w:spacing w:line="269" w:lineRule="exact"/>
        <w:ind w:left="109" w:right="205"/>
      </w:pPr>
      <w:r>
        <w:t>D.C. (</w:t>
      </w:r>
      <w:hyperlink r:id="rId12" w:anchor="sdendnote139anc">
        <w:r>
          <w:rPr>
            <w:color w:val="1154CC"/>
            <w:u w:val="single" w:color="1154CC"/>
          </w:rPr>
          <w:t>http://www.eeoc.gov/laws/guidance/arrest_conviction.cfm#sdendnote139anc</w:t>
        </w:r>
      </w:hyperlink>
      <w:r>
        <w:t>)</w:t>
      </w:r>
    </w:p>
    <w:p w:rsidR="0031076A" w:rsidRDefault="0031076A">
      <w:pPr>
        <w:pStyle w:val="BodyText"/>
        <w:spacing w:before="1"/>
        <w:rPr>
          <w:sz w:val="17"/>
        </w:rPr>
      </w:pPr>
    </w:p>
    <w:p w:rsidR="0031076A" w:rsidRDefault="00935374">
      <w:pPr>
        <w:pStyle w:val="BodyText"/>
        <w:spacing w:before="77"/>
        <w:ind w:left="109" w:right="205"/>
      </w:pPr>
      <w:r>
        <w:t xml:space="preserve">Freeman, Richard B. 1992. </w:t>
      </w:r>
      <w:proofErr w:type="gramStart"/>
      <w:r>
        <w:t>“On the Economic Analysis of Labor Market Institutions and Institutional Change.”</w:t>
      </w:r>
      <w:proofErr w:type="gramEnd"/>
      <w:r>
        <w:t xml:space="preserve"> Working Papers 1587, Harvard Institute of Economic Research.</w:t>
      </w:r>
    </w:p>
    <w:p w:rsidR="0031076A" w:rsidRDefault="0031076A">
      <w:pPr>
        <w:sectPr w:rsidR="0031076A">
          <w:pgSz w:w="12240" w:h="15840"/>
          <w:pgMar w:top="1500" w:right="1400" w:bottom="280" w:left="1240" w:header="720" w:footer="720" w:gutter="0"/>
          <w:cols w:space="720"/>
        </w:sectPr>
      </w:pPr>
    </w:p>
    <w:p w:rsidR="0031076A" w:rsidRDefault="0031076A">
      <w:pPr>
        <w:pStyle w:val="BodyText"/>
        <w:spacing w:before="8"/>
        <w:rPr>
          <w:sz w:val="11"/>
        </w:rPr>
      </w:pPr>
    </w:p>
    <w:p w:rsidR="0031076A" w:rsidRDefault="00935374">
      <w:pPr>
        <w:spacing w:before="77"/>
        <w:ind w:left="109" w:right="671"/>
        <w:rPr>
          <w:sz w:val="24"/>
        </w:rPr>
      </w:pPr>
      <w:r>
        <w:rPr>
          <w:sz w:val="24"/>
        </w:rPr>
        <w:t xml:space="preserve">General Accounting Office (GAO). 1999. </w:t>
      </w:r>
      <w:r>
        <w:rPr>
          <w:i/>
          <w:sz w:val="24"/>
        </w:rPr>
        <w:t xml:space="preserve">Military Recruiting: New Initiatives Could Improve Criminal History Screening </w:t>
      </w:r>
      <w:r>
        <w:rPr>
          <w:sz w:val="24"/>
        </w:rPr>
        <w:t>(GAO/NSIAD-99-53). Washington, D.C.</w:t>
      </w:r>
    </w:p>
    <w:p w:rsidR="0031076A" w:rsidRDefault="0031076A">
      <w:pPr>
        <w:pStyle w:val="BodyText"/>
      </w:pPr>
    </w:p>
    <w:p w:rsidR="0031076A" w:rsidRDefault="00935374">
      <w:pPr>
        <w:pStyle w:val="BodyText"/>
        <w:spacing w:line="269" w:lineRule="exact"/>
        <w:ind w:left="109" w:right="294"/>
      </w:pPr>
      <w:proofErr w:type="spellStart"/>
      <w:r>
        <w:t>Grogger</w:t>
      </w:r>
      <w:proofErr w:type="spellEnd"/>
      <w:r>
        <w:t>, Jeffrey. 1995. “The Effect of Arrests on the Employment and Earnings of Young Men.”</w:t>
      </w:r>
    </w:p>
    <w:p w:rsidR="0031076A" w:rsidRDefault="00935374">
      <w:pPr>
        <w:spacing w:line="269" w:lineRule="exact"/>
        <w:ind w:left="109" w:right="671"/>
        <w:rPr>
          <w:sz w:val="24"/>
        </w:rPr>
      </w:pPr>
      <w:r>
        <w:rPr>
          <w:i/>
          <w:sz w:val="24"/>
        </w:rPr>
        <w:t xml:space="preserve">Quarterly Journal of Economics </w:t>
      </w:r>
      <w:r>
        <w:rPr>
          <w:sz w:val="24"/>
        </w:rPr>
        <w:t>110: 51–72.</w:t>
      </w:r>
    </w:p>
    <w:p w:rsidR="0031076A" w:rsidRDefault="0031076A">
      <w:pPr>
        <w:pStyle w:val="BodyText"/>
      </w:pPr>
    </w:p>
    <w:p w:rsidR="0031076A" w:rsidRDefault="00935374">
      <w:pPr>
        <w:ind w:left="109" w:right="294"/>
        <w:rPr>
          <w:sz w:val="24"/>
        </w:rPr>
      </w:pPr>
      <w:proofErr w:type="gramStart"/>
      <w:r>
        <w:rPr>
          <w:sz w:val="24"/>
        </w:rPr>
        <w:t xml:space="preserve">Heckman, James J., John Eric Humphries, and Tim </w:t>
      </w:r>
      <w:proofErr w:type="spellStart"/>
      <w:r>
        <w:rPr>
          <w:sz w:val="24"/>
        </w:rPr>
        <w:t>Kautz</w:t>
      </w:r>
      <w:proofErr w:type="spellEnd"/>
      <w:r>
        <w:rPr>
          <w:sz w:val="24"/>
        </w:rPr>
        <w:t>, eds. 2014.</w:t>
      </w:r>
      <w:proofErr w:type="gramEnd"/>
      <w:r>
        <w:rPr>
          <w:sz w:val="24"/>
        </w:rPr>
        <w:t xml:space="preserve"> </w:t>
      </w:r>
      <w:r>
        <w:rPr>
          <w:i/>
          <w:sz w:val="24"/>
        </w:rPr>
        <w:t>The Myth of Achievement Tests: The GED and the Role of Character in American Life</w:t>
      </w:r>
      <w:r>
        <w:rPr>
          <w:sz w:val="24"/>
        </w:rPr>
        <w:t>. Chicago: University of Chicago Press.</w:t>
      </w:r>
    </w:p>
    <w:p w:rsidR="0031076A" w:rsidRDefault="0031076A">
      <w:pPr>
        <w:pStyle w:val="BodyText"/>
      </w:pPr>
    </w:p>
    <w:p w:rsidR="0031076A" w:rsidRDefault="00935374">
      <w:pPr>
        <w:pStyle w:val="BodyText"/>
        <w:ind w:left="109" w:right="479"/>
      </w:pPr>
      <w:proofErr w:type="gramStart"/>
      <w:r>
        <w:t xml:space="preserve">Heckman, James J. and Paul A. </w:t>
      </w:r>
      <w:proofErr w:type="spellStart"/>
      <w:r>
        <w:t>LaFontaine</w:t>
      </w:r>
      <w:proofErr w:type="spellEnd"/>
      <w:r>
        <w:t>.</w:t>
      </w:r>
      <w:proofErr w:type="gramEnd"/>
      <w:r>
        <w:t xml:space="preserve"> 2007. “The American High School Graduate: Trends and Levels.” </w:t>
      </w:r>
      <w:proofErr w:type="gramStart"/>
      <w:r>
        <w:t>NBER Working Paper 13670.</w:t>
      </w:r>
      <w:proofErr w:type="gramEnd"/>
      <w:r>
        <w:t xml:space="preserve"> </w:t>
      </w:r>
      <w:hyperlink r:id="rId13">
        <w:r>
          <w:rPr>
            <w:color w:val="1154CC"/>
            <w:u w:val="single" w:color="1154CC"/>
          </w:rPr>
          <w:t>http://www.nber.org/papers/w13670.pdf</w:t>
        </w:r>
      </w:hyperlink>
    </w:p>
    <w:p w:rsidR="0031076A" w:rsidRDefault="0031076A">
      <w:pPr>
        <w:pStyle w:val="BodyText"/>
        <w:spacing w:before="11"/>
        <w:rPr>
          <w:sz w:val="16"/>
        </w:rPr>
      </w:pPr>
    </w:p>
    <w:p w:rsidR="0031076A" w:rsidRDefault="00935374">
      <w:pPr>
        <w:pStyle w:val="BodyText"/>
        <w:spacing w:before="77"/>
        <w:ind w:left="109" w:right="294"/>
      </w:pPr>
      <w:r>
        <w:t>Hes</w:t>
      </w:r>
      <w:r>
        <w:rPr>
          <w:spacing w:val="-2"/>
        </w:rPr>
        <w:t>s</w:t>
      </w:r>
      <w:r>
        <w:t xml:space="preserve">, </w:t>
      </w:r>
      <w:r>
        <w:rPr>
          <w:w w:val="99"/>
        </w:rPr>
        <w:t>A</w:t>
      </w:r>
      <w:r>
        <w:t>le</w:t>
      </w:r>
      <w:r>
        <w:rPr>
          <w:w w:val="99"/>
        </w:rPr>
        <w:t>x</w:t>
      </w:r>
      <w:r>
        <w:rPr>
          <w:spacing w:val="1"/>
          <w:w w:val="99"/>
        </w:rPr>
        <w:t>a</w:t>
      </w:r>
      <w:r>
        <w:rPr>
          <w:w w:val="99"/>
        </w:rPr>
        <w:t>nder</w:t>
      </w:r>
      <w:r>
        <w:t xml:space="preserve"> </w:t>
      </w:r>
      <w:proofErr w:type="gramStart"/>
      <w:r>
        <w:rPr>
          <w:w w:val="99"/>
        </w:rPr>
        <w:t>E</w:t>
      </w:r>
      <w:r>
        <w:t>.M..</w:t>
      </w:r>
      <w:proofErr w:type="gramEnd"/>
      <w:r>
        <w:t xml:space="preserve"> 2</w:t>
      </w:r>
      <w:r>
        <w:rPr>
          <w:spacing w:val="-2"/>
        </w:rPr>
        <w:t>0</w:t>
      </w:r>
      <w:r>
        <w:t>13. “</w:t>
      </w:r>
      <w:r>
        <w:rPr>
          <w:spacing w:val="-2"/>
        </w:rPr>
        <w:t>T</w:t>
      </w:r>
      <w:r>
        <w:t>he 10 Largest</w:t>
      </w:r>
      <w:r>
        <w:rPr>
          <w:spacing w:val="-2"/>
        </w:rPr>
        <w:t xml:space="preserve"> </w:t>
      </w:r>
      <w:r>
        <w:rPr>
          <w:w w:val="99"/>
        </w:rPr>
        <w:t>Emp</w:t>
      </w:r>
      <w:r>
        <w:rPr>
          <w:spacing w:val="-3"/>
          <w:w w:val="99"/>
        </w:rPr>
        <w:t>l</w:t>
      </w:r>
      <w:r>
        <w:t>oyers</w:t>
      </w:r>
      <w:r>
        <w:rPr>
          <w:spacing w:val="-2"/>
        </w:rPr>
        <w:t xml:space="preserve"> </w:t>
      </w:r>
      <w:r>
        <w:rPr>
          <w:w w:val="99"/>
        </w:rPr>
        <w:t>in</w:t>
      </w:r>
      <w:r>
        <w:t xml:space="preserve"> </w:t>
      </w:r>
      <w:r>
        <w:rPr>
          <w:w w:val="99"/>
        </w:rPr>
        <w:t>A</w:t>
      </w:r>
      <w:r>
        <w:t>meric</w:t>
      </w:r>
      <w:r>
        <w:rPr>
          <w:w w:val="99"/>
        </w:rPr>
        <w:t>a</w:t>
      </w:r>
      <w:r>
        <w:t>,”</w:t>
      </w:r>
      <w:r>
        <w:rPr>
          <w:spacing w:val="4"/>
        </w:rPr>
        <w:t xml:space="preserve"> </w:t>
      </w:r>
      <w:r>
        <w:rPr>
          <w:i/>
        </w:rPr>
        <w:t>USA</w:t>
      </w:r>
      <w:r>
        <w:rPr>
          <w:i/>
          <w:spacing w:val="-3"/>
        </w:rPr>
        <w:t xml:space="preserve"> </w:t>
      </w:r>
      <w:r>
        <w:rPr>
          <w:i/>
          <w:spacing w:val="-1"/>
        </w:rPr>
        <w:t>To</w:t>
      </w:r>
      <w:r>
        <w:rPr>
          <w:i/>
        </w:rPr>
        <w:t>da</w:t>
      </w:r>
      <w:r>
        <w:rPr>
          <w:i/>
          <w:spacing w:val="-1"/>
        </w:rPr>
        <w:t>y</w:t>
      </w:r>
      <w:r>
        <w:rPr>
          <w:i/>
        </w:rPr>
        <w:t xml:space="preserve">, </w:t>
      </w:r>
      <w:r>
        <w:t>August</w:t>
      </w:r>
      <w:r>
        <w:rPr>
          <w:spacing w:val="-2"/>
        </w:rPr>
        <w:t xml:space="preserve"> </w:t>
      </w:r>
      <w:r>
        <w:t xml:space="preserve">22. </w:t>
      </w:r>
      <w:r>
        <w:rPr>
          <w:spacing w:val="-1"/>
        </w:rPr>
        <w:t>(</w:t>
      </w:r>
      <w:hyperlink r:id="rId14">
        <w:r>
          <w:rPr>
            <w:color w:val="1154CC"/>
            <w:spacing w:val="-1"/>
            <w:u w:val="single" w:color="1154CC"/>
          </w:rPr>
          <w:t>http://</w:t>
        </w:r>
        <w:r>
          <w:rPr>
            <w:color w:val="1154CC"/>
            <w:spacing w:val="1"/>
            <w:u w:val="single" w:color="1154CC"/>
          </w:rPr>
          <w:t>w</w:t>
        </w:r>
        <w:r>
          <w:rPr>
            <w:color w:val="1154CC"/>
            <w:u w:val="single" w:color="1154CC"/>
          </w:rPr>
          <w:t>ww.u</w:t>
        </w:r>
        <w:r>
          <w:rPr>
            <w:color w:val="1154CC"/>
            <w:spacing w:val="-1"/>
            <w:u w:val="single" w:color="1154CC"/>
          </w:rPr>
          <w:t>s</w:t>
        </w:r>
        <w:r>
          <w:rPr>
            <w:color w:val="1154CC"/>
            <w:u w:val="single" w:color="1154CC"/>
          </w:rPr>
          <w:t>atoday</w:t>
        </w:r>
        <w:r>
          <w:rPr>
            <w:color w:val="1154CC"/>
            <w:spacing w:val="-3"/>
            <w:u w:val="single" w:color="1154CC"/>
          </w:rPr>
          <w:t>.</w:t>
        </w:r>
        <w:r>
          <w:rPr>
            <w:color w:val="1154CC"/>
            <w:u w:val="single" w:color="1154CC"/>
          </w:rPr>
          <w:t>c</w:t>
        </w:r>
        <w:r>
          <w:rPr>
            <w:color w:val="1154CC"/>
            <w:spacing w:val="-2"/>
            <w:u w:val="single" w:color="1154CC"/>
          </w:rPr>
          <w:t>o</w:t>
        </w:r>
        <w:r>
          <w:rPr>
            <w:color w:val="1154CC"/>
            <w:u w:val="single" w:color="1154CC"/>
          </w:rPr>
          <w:t>m/</w:t>
        </w:r>
        <w:r>
          <w:rPr>
            <w:color w:val="1154CC"/>
            <w:spacing w:val="-2"/>
            <w:u w:val="single" w:color="1154CC"/>
          </w:rPr>
          <w:t>s</w:t>
        </w:r>
        <w:r>
          <w:rPr>
            <w:color w:val="1154CC"/>
            <w:u w:val="single" w:color="1154CC"/>
          </w:rPr>
          <w:t>to</w:t>
        </w:r>
        <w:r>
          <w:rPr>
            <w:color w:val="1154CC"/>
            <w:spacing w:val="-2"/>
            <w:u w:val="single" w:color="1154CC"/>
          </w:rPr>
          <w:t>r</w:t>
        </w:r>
        <w:r>
          <w:rPr>
            <w:color w:val="1154CC"/>
            <w:u w:val="single" w:color="1154CC"/>
          </w:rPr>
          <w:t>y/money/busine</w:t>
        </w:r>
        <w:r>
          <w:rPr>
            <w:color w:val="1154CC"/>
            <w:spacing w:val="-2"/>
            <w:u w:val="single" w:color="1154CC"/>
          </w:rPr>
          <w:t>s</w:t>
        </w:r>
        <w:r>
          <w:rPr>
            <w:color w:val="1154CC"/>
            <w:spacing w:val="1"/>
            <w:u w:val="single" w:color="1154CC"/>
          </w:rPr>
          <w:t>s</w:t>
        </w:r>
        <w:r>
          <w:rPr>
            <w:color w:val="1154CC"/>
            <w:u w:val="single" w:color="1154CC"/>
          </w:rPr>
          <w:t>/2013/08/22/te</w:t>
        </w:r>
        <w:r>
          <w:rPr>
            <w:color w:val="1154CC"/>
            <w:spacing w:val="3"/>
            <w:u w:val="single" w:color="1154CC"/>
          </w:rPr>
          <w:t>n</w:t>
        </w:r>
        <w:r>
          <w:rPr>
            <w:color w:val="1154CC"/>
            <w:spacing w:val="-1"/>
            <w:u w:val="single" w:color="1154CC"/>
          </w:rPr>
          <w:t>-</w:t>
        </w:r>
        <w:r>
          <w:rPr>
            <w:color w:val="1154CC"/>
            <w:u w:val="single" w:color="1154CC"/>
          </w:rPr>
          <w:t>la</w:t>
        </w:r>
        <w:r>
          <w:rPr>
            <w:color w:val="1154CC"/>
            <w:spacing w:val="-1"/>
            <w:u w:val="single" w:color="1154CC"/>
          </w:rPr>
          <w:t>r</w:t>
        </w:r>
        <w:r>
          <w:rPr>
            <w:color w:val="1154CC"/>
            <w:spacing w:val="-3"/>
            <w:u w:val="single" w:color="1154CC"/>
          </w:rPr>
          <w:t>g</w:t>
        </w:r>
        <w:r>
          <w:rPr>
            <w:color w:val="1154CC"/>
            <w:u w:val="single" w:color="1154CC"/>
          </w:rPr>
          <w:t>es</w:t>
        </w:r>
        <w:r>
          <w:rPr>
            <w:color w:val="1154CC"/>
            <w:spacing w:val="-1"/>
            <w:u w:val="single" w:color="1154CC"/>
          </w:rPr>
          <w:t>t-</w:t>
        </w:r>
        <w:r>
          <w:rPr>
            <w:color w:val="1154CC"/>
            <w:u w:val="single" w:color="1154CC"/>
          </w:rPr>
          <w:t>empl</w:t>
        </w:r>
        <w:r>
          <w:rPr>
            <w:color w:val="1154CC"/>
            <w:spacing w:val="-1"/>
            <w:u w:val="single" w:color="1154CC"/>
          </w:rPr>
          <w:t>o</w:t>
        </w:r>
        <w:r>
          <w:rPr>
            <w:color w:val="1154CC"/>
            <w:u w:val="single" w:color="1154CC"/>
          </w:rPr>
          <w:t>yer</w:t>
        </w:r>
        <w:r>
          <w:rPr>
            <w:color w:val="1154CC"/>
            <w:spacing w:val="-2"/>
            <w:u w:val="single" w:color="1154CC"/>
          </w:rPr>
          <w:t>s</w:t>
        </w:r>
        <w:r>
          <w:rPr>
            <w:color w:val="1154CC"/>
            <w:u w:val="single" w:color="1154CC"/>
          </w:rPr>
          <w:t>/2680249</w:t>
        </w:r>
        <w:r>
          <w:rPr>
            <w:color w:val="1154CC"/>
            <w:spacing w:val="1"/>
            <w:u w:val="single" w:color="1154CC"/>
          </w:rPr>
          <w:t>/</w:t>
        </w:r>
      </w:hyperlink>
      <w:r>
        <w:rPr>
          <w:color w:val="1154CC"/>
          <w:u w:val="single" w:color="1154CC"/>
        </w:rPr>
        <w:t>)</w:t>
      </w:r>
    </w:p>
    <w:p w:rsidR="0031076A" w:rsidRDefault="0031076A">
      <w:pPr>
        <w:pStyle w:val="BodyText"/>
        <w:spacing w:before="10"/>
        <w:rPr>
          <w:sz w:val="16"/>
        </w:rPr>
      </w:pPr>
    </w:p>
    <w:p w:rsidR="0031076A" w:rsidRDefault="00935374">
      <w:pPr>
        <w:spacing w:before="77"/>
        <w:ind w:left="109" w:right="194"/>
        <w:rPr>
          <w:sz w:val="24"/>
        </w:rPr>
      </w:pPr>
      <w:proofErr w:type="spellStart"/>
      <w:proofErr w:type="gramStart"/>
      <w:r>
        <w:rPr>
          <w:sz w:val="24"/>
        </w:rPr>
        <w:t>Hirshi</w:t>
      </w:r>
      <w:proofErr w:type="spellEnd"/>
      <w:r>
        <w:rPr>
          <w:sz w:val="24"/>
        </w:rPr>
        <w:t xml:space="preserve">, Travis and Michael </w:t>
      </w:r>
      <w:proofErr w:type="spellStart"/>
      <w:r>
        <w:rPr>
          <w:sz w:val="24"/>
        </w:rPr>
        <w:t>Gottfredson</w:t>
      </w:r>
      <w:proofErr w:type="spellEnd"/>
      <w:r>
        <w:rPr>
          <w:sz w:val="24"/>
        </w:rPr>
        <w:t>.</w:t>
      </w:r>
      <w:proofErr w:type="gramEnd"/>
      <w:r>
        <w:rPr>
          <w:sz w:val="24"/>
        </w:rPr>
        <w:t xml:space="preserve"> 1983. “Age and the Explanation of Crime.” </w:t>
      </w:r>
      <w:r>
        <w:rPr>
          <w:i/>
          <w:sz w:val="24"/>
        </w:rPr>
        <w:t xml:space="preserve">American Journal of Sociology </w:t>
      </w:r>
      <w:r>
        <w:rPr>
          <w:sz w:val="24"/>
        </w:rPr>
        <w:t>89(3): 552-584.</w:t>
      </w:r>
    </w:p>
    <w:p w:rsidR="0031076A" w:rsidRDefault="0031076A">
      <w:pPr>
        <w:pStyle w:val="BodyText"/>
        <w:spacing w:before="8"/>
        <w:rPr>
          <w:sz w:val="23"/>
        </w:rPr>
      </w:pPr>
    </w:p>
    <w:p w:rsidR="0031076A" w:rsidRDefault="00935374">
      <w:pPr>
        <w:spacing w:before="1"/>
        <w:ind w:left="109" w:right="294"/>
        <w:rPr>
          <w:sz w:val="24"/>
        </w:rPr>
      </w:pPr>
      <w:proofErr w:type="spellStart"/>
      <w:r>
        <w:rPr>
          <w:sz w:val="24"/>
        </w:rPr>
        <w:t>Holzer</w:t>
      </w:r>
      <w:proofErr w:type="spellEnd"/>
      <w:r>
        <w:rPr>
          <w:sz w:val="24"/>
        </w:rPr>
        <w:t xml:space="preserve">, Harry J. 1999. </w:t>
      </w:r>
      <w:r>
        <w:rPr>
          <w:i/>
          <w:sz w:val="24"/>
        </w:rPr>
        <w:t xml:space="preserve">What Employers Want: Job Prospects for Less-Education Workers. </w:t>
      </w:r>
      <w:r>
        <w:rPr>
          <w:sz w:val="24"/>
        </w:rPr>
        <w:t>New York: Russell Sage.</w:t>
      </w:r>
    </w:p>
    <w:p w:rsidR="0031076A" w:rsidRDefault="0031076A">
      <w:pPr>
        <w:pStyle w:val="BodyText"/>
        <w:spacing w:before="8"/>
        <w:rPr>
          <w:sz w:val="23"/>
        </w:rPr>
      </w:pPr>
    </w:p>
    <w:p w:rsidR="0031076A" w:rsidRDefault="00935374">
      <w:pPr>
        <w:pStyle w:val="BodyText"/>
        <w:spacing w:before="1"/>
        <w:ind w:left="109" w:right="671"/>
        <w:rPr>
          <w:i/>
        </w:rPr>
      </w:pPr>
      <w:proofErr w:type="spellStart"/>
      <w:proofErr w:type="gramStart"/>
      <w:r>
        <w:t>Holzer</w:t>
      </w:r>
      <w:proofErr w:type="spellEnd"/>
      <w:r>
        <w:t>, Harry, Steven Raphael, and Michael Stoll.</w:t>
      </w:r>
      <w:proofErr w:type="gramEnd"/>
      <w:r>
        <w:t xml:space="preserve"> 2004. “How </w:t>
      </w:r>
      <w:proofErr w:type="gramStart"/>
      <w:r>
        <w:t>Willing</w:t>
      </w:r>
      <w:proofErr w:type="gramEnd"/>
      <w:r>
        <w:t xml:space="preserve"> are Employers to Hire Ex- Offenders?” </w:t>
      </w:r>
      <w:r>
        <w:rPr>
          <w:i/>
        </w:rPr>
        <w:t xml:space="preserve">Focus </w:t>
      </w:r>
      <w:r>
        <w:t>23(2): 40-43</w:t>
      </w:r>
      <w:r>
        <w:rPr>
          <w:i/>
        </w:rPr>
        <w:t>.</w:t>
      </w:r>
    </w:p>
    <w:p w:rsidR="0031076A" w:rsidRDefault="0031076A">
      <w:pPr>
        <w:pStyle w:val="BodyText"/>
        <w:spacing w:before="9"/>
        <w:rPr>
          <w:i/>
          <w:sz w:val="23"/>
        </w:rPr>
      </w:pPr>
    </w:p>
    <w:p w:rsidR="0031076A" w:rsidRDefault="00935374">
      <w:pPr>
        <w:ind w:left="109" w:right="671"/>
        <w:rPr>
          <w:sz w:val="24"/>
        </w:rPr>
      </w:pPr>
      <w:proofErr w:type="spellStart"/>
      <w:r>
        <w:rPr>
          <w:sz w:val="24"/>
        </w:rPr>
        <w:t>Huth</w:t>
      </w:r>
      <w:proofErr w:type="spellEnd"/>
      <w:r>
        <w:rPr>
          <w:sz w:val="24"/>
        </w:rPr>
        <w:t xml:space="preserve">, R. A. (2007). </w:t>
      </w:r>
      <w:r>
        <w:rPr>
          <w:i/>
          <w:sz w:val="24"/>
        </w:rPr>
        <w:t>The effect of moral waivers on the success of Navy recruits</w:t>
      </w:r>
      <w:r>
        <w:rPr>
          <w:sz w:val="24"/>
        </w:rPr>
        <w:t xml:space="preserve">. </w:t>
      </w:r>
      <w:proofErr w:type="gramStart"/>
      <w:r>
        <w:rPr>
          <w:sz w:val="24"/>
        </w:rPr>
        <w:t>NAVAL POSTGRADUATE SCHOOL MONTEREY CA.</w:t>
      </w:r>
      <w:proofErr w:type="gramEnd"/>
    </w:p>
    <w:p w:rsidR="0031076A" w:rsidRDefault="0031076A">
      <w:pPr>
        <w:pStyle w:val="BodyText"/>
        <w:spacing w:before="8"/>
        <w:rPr>
          <w:sz w:val="23"/>
        </w:rPr>
      </w:pPr>
    </w:p>
    <w:p w:rsidR="0031076A" w:rsidRDefault="00935374">
      <w:pPr>
        <w:pStyle w:val="BodyText"/>
        <w:spacing w:before="1"/>
        <w:ind w:left="109" w:right="574"/>
      </w:pPr>
      <w:proofErr w:type="spellStart"/>
      <w:r>
        <w:t>Jeppe</w:t>
      </w:r>
      <w:proofErr w:type="spellEnd"/>
      <w:r>
        <w:t xml:space="preserve">, Adam L. 2008. “Determining the Relationship </w:t>
      </w:r>
      <w:proofErr w:type="gramStart"/>
      <w:r>
        <w:t>Between</w:t>
      </w:r>
      <w:proofErr w:type="gramEnd"/>
      <w:r>
        <w:t xml:space="preserve"> Moral Waivers and Marine Corps Unsuitability Attrition.” </w:t>
      </w:r>
      <w:proofErr w:type="gramStart"/>
      <w:r>
        <w:t>Master’s thesis, Naval Postgraduate School, Monterey, CA.</w:t>
      </w:r>
      <w:proofErr w:type="gramEnd"/>
    </w:p>
    <w:p w:rsidR="0031076A" w:rsidRDefault="0031076A">
      <w:pPr>
        <w:pStyle w:val="BodyText"/>
      </w:pPr>
    </w:p>
    <w:p w:rsidR="0031076A" w:rsidRDefault="00935374">
      <w:pPr>
        <w:pStyle w:val="BodyText"/>
        <w:ind w:left="109" w:right="277"/>
      </w:pPr>
      <w:proofErr w:type="spellStart"/>
      <w:proofErr w:type="gramStart"/>
      <w:r>
        <w:t>Kurlychek</w:t>
      </w:r>
      <w:proofErr w:type="spellEnd"/>
      <w:r>
        <w:t xml:space="preserve">, Megan C., Robert </w:t>
      </w:r>
      <w:proofErr w:type="spellStart"/>
      <w:r>
        <w:t>Brame</w:t>
      </w:r>
      <w:proofErr w:type="spellEnd"/>
      <w:r>
        <w:t xml:space="preserve">, and Shawn D. </w:t>
      </w:r>
      <w:proofErr w:type="spellStart"/>
      <w:r>
        <w:t>Bushway</w:t>
      </w:r>
      <w:proofErr w:type="spellEnd"/>
      <w:r>
        <w:t>.</w:t>
      </w:r>
      <w:proofErr w:type="gramEnd"/>
      <w:r>
        <w:t xml:space="preserve"> 2006. “Scarlet letters and Recidivism: Does an Old Criminal Record Predict Future Offending.” </w:t>
      </w:r>
      <w:r>
        <w:rPr>
          <w:i/>
        </w:rPr>
        <w:t xml:space="preserve">Criminology &amp; Public Policy </w:t>
      </w:r>
      <w:r>
        <w:t>5: 483-504.</w:t>
      </w:r>
    </w:p>
    <w:p w:rsidR="0031076A" w:rsidRDefault="0031076A">
      <w:pPr>
        <w:pStyle w:val="BodyText"/>
      </w:pPr>
    </w:p>
    <w:p w:rsidR="0031076A" w:rsidRDefault="00935374">
      <w:pPr>
        <w:pStyle w:val="BodyText"/>
        <w:ind w:left="109"/>
      </w:pPr>
      <w:proofErr w:type="spellStart"/>
      <w:proofErr w:type="gramStart"/>
      <w:r>
        <w:t>Laub</w:t>
      </w:r>
      <w:proofErr w:type="spellEnd"/>
      <w:r>
        <w:t>, J. H., &amp; Sampson, R. J. (2001).</w:t>
      </w:r>
      <w:proofErr w:type="gramEnd"/>
      <w:r>
        <w:t xml:space="preserve"> </w:t>
      </w:r>
      <w:proofErr w:type="gramStart"/>
      <w:r>
        <w:t>Understanding desistance from crime.</w:t>
      </w:r>
      <w:proofErr w:type="gramEnd"/>
      <w:r>
        <w:t xml:space="preserve"> </w:t>
      </w:r>
      <w:proofErr w:type="gramStart"/>
      <w:r>
        <w:rPr>
          <w:i/>
        </w:rPr>
        <w:t>Crime and justice</w:t>
      </w:r>
      <w:r>
        <w:t>, 1-69.</w:t>
      </w:r>
      <w:proofErr w:type="gramEnd"/>
    </w:p>
    <w:p w:rsidR="0031076A" w:rsidRDefault="0031076A">
      <w:pPr>
        <w:pStyle w:val="BodyText"/>
        <w:spacing w:before="8"/>
        <w:rPr>
          <w:sz w:val="23"/>
        </w:rPr>
      </w:pPr>
    </w:p>
    <w:p w:rsidR="0031076A" w:rsidRDefault="00935374">
      <w:pPr>
        <w:pStyle w:val="BodyText"/>
        <w:spacing w:before="1"/>
        <w:ind w:left="109" w:right="1105"/>
      </w:pPr>
      <w:r>
        <w:t xml:space="preserve">Leavitt, Jennifer. 2001. "Walking a Tightrope: Balancing Competing Public Interests in the Employment of Criminal Offenders." </w:t>
      </w:r>
      <w:r>
        <w:rPr>
          <w:i/>
        </w:rPr>
        <w:t xml:space="preserve">Connecticut Law Review </w:t>
      </w:r>
      <w:r>
        <w:t>34: 1301-2.</w:t>
      </w:r>
    </w:p>
    <w:p w:rsidR="0031076A" w:rsidRDefault="0031076A">
      <w:pPr>
        <w:pStyle w:val="BodyText"/>
        <w:spacing w:before="9"/>
        <w:rPr>
          <w:sz w:val="23"/>
        </w:rPr>
      </w:pPr>
    </w:p>
    <w:p w:rsidR="0031076A" w:rsidRDefault="00935374">
      <w:pPr>
        <w:pStyle w:val="BodyText"/>
        <w:ind w:left="109" w:right="585"/>
      </w:pPr>
      <w:proofErr w:type="gramStart"/>
      <w:r>
        <w:t>Love, Margaret Colgate.</w:t>
      </w:r>
      <w:proofErr w:type="gramEnd"/>
      <w:r>
        <w:t xml:space="preserve"> 2011. “Paying Their Debt to Society: Forgiveness, Redemption, and the Uniform Collateral Consequences of Conviction Act.” </w:t>
      </w:r>
      <w:r>
        <w:rPr>
          <w:i/>
        </w:rPr>
        <w:t xml:space="preserve">Howard Law Journal </w:t>
      </w:r>
      <w:r>
        <w:t>54(3): 753-793.</w:t>
      </w:r>
    </w:p>
    <w:p w:rsidR="0031076A" w:rsidRDefault="0031076A">
      <w:pPr>
        <w:pStyle w:val="BodyText"/>
        <w:spacing w:before="8"/>
        <w:rPr>
          <w:sz w:val="23"/>
        </w:rPr>
      </w:pPr>
    </w:p>
    <w:p w:rsidR="0031076A" w:rsidRDefault="00935374">
      <w:pPr>
        <w:spacing w:before="1"/>
        <w:ind w:left="109" w:right="294"/>
        <w:rPr>
          <w:sz w:val="24"/>
        </w:rPr>
      </w:pPr>
      <w:proofErr w:type="gramStart"/>
      <w:r>
        <w:rPr>
          <w:color w:val="333333"/>
          <w:sz w:val="24"/>
        </w:rPr>
        <w:t xml:space="preserve">Love, Margaret Colgate, Jenny Roberts &amp; Cecelia M. </w:t>
      </w:r>
      <w:proofErr w:type="spellStart"/>
      <w:r>
        <w:rPr>
          <w:color w:val="333333"/>
          <w:sz w:val="24"/>
        </w:rPr>
        <w:t>Klingele</w:t>
      </w:r>
      <w:proofErr w:type="spellEnd"/>
      <w:r>
        <w:rPr>
          <w:color w:val="333333"/>
          <w:sz w:val="24"/>
        </w:rPr>
        <w:t>.</w:t>
      </w:r>
      <w:proofErr w:type="gramEnd"/>
      <w:r>
        <w:rPr>
          <w:color w:val="333333"/>
          <w:sz w:val="24"/>
        </w:rPr>
        <w:t xml:space="preserve"> 2013. </w:t>
      </w:r>
      <w:r>
        <w:rPr>
          <w:i/>
          <w:color w:val="333333"/>
          <w:sz w:val="24"/>
        </w:rPr>
        <w:t>Collateral Consequences of a Criminal Conviction: Law, Policy and Practice</w:t>
      </w:r>
      <w:r>
        <w:rPr>
          <w:color w:val="333333"/>
          <w:sz w:val="24"/>
        </w:rPr>
        <w:t>. Eagan, MN: NACDL/West.</w:t>
      </w:r>
    </w:p>
    <w:p w:rsidR="0031076A" w:rsidRDefault="0031076A">
      <w:pPr>
        <w:rPr>
          <w:sz w:val="24"/>
        </w:rPr>
        <w:sectPr w:rsidR="0031076A">
          <w:pgSz w:w="12240" w:h="15840"/>
          <w:pgMar w:top="1500" w:right="1340" w:bottom="280" w:left="1240" w:header="720" w:footer="720" w:gutter="0"/>
          <w:cols w:space="720"/>
        </w:sectPr>
      </w:pPr>
    </w:p>
    <w:p w:rsidR="0031076A" w:rsidRDefault="0031076A">
      <w:pPr>
        <w:pStyle w:val="BodyText"/>
        <w:spacing w:before="2"/>
        <w:rPr>
          <w:sz w:val="12"/>
        </w:rPr>
      </w:pPr>
    </w:p>
    <w:p w:rsidR="0031076A" w:rsidRDefault="00935374">
      <w:pPr>
        <w:pStyle w:val="BodyText"/>
        <w:spacing w:before="67"/>
        <w:ind w:left="109" w:right="31"/>
      </w:pPr>
      <w:r>
        <w:t>Malone, Lauren. 2014. “Hiring from High</w:t>
      </w:r>
      <w:proofErr w:type="gramStart"/>
      <w:r>
        <w:rPr>
          <w:rFonts w:ascii="Cambria Math" w:hAnsi="Cambria Math"/>
        </w:rPr>
        <w:t xml:space="preserve">‐  </w:t>
      </w:r>
      <w:r>
        <w:t>Risk</w:t>
      </w:r>
      <w:proofErr w:type="gramEnd"/>
      <w:r>
        <w:t xml:space="preserve"> Populations: Lessons from the US Military.”</w:t>
      </w:r>
    </w:p>
    <w:p w:rsidR="0031076A" w:rsidRDefault="00935374">
      <w:pPr>
        <w:spacing w:before="1"/>
        <w:ind w:left="109" w:right="31"/>
        <w:rPr>
          <w:sz w:val="24"/>
        </w:rPr>
      </w:pPr>
      <w:r>
        <w:rPr>
          <w:i/>
          <w:sz w:val="24"/>
        </w:rPr>
        <w:t xml:space="preserve">Contemporary Economic Policy </w:t>
      </w:r>
      <w:r>
        <w:rPr>
          <w:sz w:val="24"/>
        </w:rPr>
        <w:t>32(1): 133-143.</w:t>
      </w:r>
    </w:p>
    <w:p w:rsidR="0031076A" w:rsidRDefault="0031076A">
      <w:pPr>
        <w:pStyle w:val="BodyText"/>
        <w:spacing w:before="8"/>
        <w:rPr>
          <w:sz w:val="23"/>
        </w:rPr>
      </w:pPr>
    </w:p>
    <w:p w:rsidR="0031076A" w:rsidRDefault="00935374">
      <w:pPr>
        <w:pStyle w:val="BodyText"/>
        <w:spacing w:before="1"/>
        <w:ind w:left="109" w:right="276"/>
        <w:jc w:val="both"/>
      </w:pPr>
      <w:proofErr w:type="gramStart"/>
      <w:r>
        <w:t xml:space="preserve">Mare, Robert D. and Christopher </w:t>
      </w:r>
      <w:proofErr w:type="spellStart"/>
      <w:r>
        <w:t>Winship</w:t>
      </w:r>
      <w:proofErr w:type="spellEnd"/>
      <w:r>
        <w:t>.</w:t>
      </w:r>
      <w:proofErr w:type="gramEnd"/>
      <w:r>
        <w:t xml:space="preserve"> 1984. “The Paradox of Lessening Racial Inequality and Joblessness Among Black Youth: Enrollment, Enlistment, and Employment, 1964-1981.” </w:t>
      </w:r>
      <w:r>
        <w:rPr>
          <w:i/>
        </w:rPr>
        <w:t xml:space="preserve">American Sociological </w:t>
      </w:r>
      <w:proofErr w:type="gramStart"/>
      <w:r>
        <w:rPr>
          <w:i/>
        </w:rPr>
        <w:t xml:space="preserve">Review  </w:t>
      </w:r>
      <w:r>
        <w:t>49</w:t>
      </w:r>
      <w:proofErr w:type="gramEnd"/>
      <w:r>
        <w:t>(1): 39-55.</w:t>
      </w:r>
    </w:p>
    <w:p w:rsidR="0031076A" w:rsidRDefault="0031076A">
      <w:pPr>
        <w:pStyle w:val="BodyText"/>
        <w:spacing w:before="8"/>
        <w:rPr>
          <w:sz w:val="23"/>
        </w:rPr>
      </w:pPr>
    </w:p>
    <w:p w:rsidR="0031076A" w:rsidRDefault="00935374">
      <w:pPr>
        <w:pStyle w:val="BodyText"/>
        <w:spacing w:before="1"/>
        <w:ind w:left="109" w:right="-16"/>
      </w:pPr>
      <w:proofErr w:type="spellStart"/>
      <w:r>
        <w:t>Mattick</w:t>
      </w:r>
      <w:proofErr w:type="spellEnd"/>
      <w:r>
        <w:t xml:space="preserve">, Hans W. 1954. </w:t>
      </w:r>
      <w:proofErr w:type="gramStart"/>
      <w:r>
        <w:t>“Parolees in the Army during World War II.”</w:t>
      </w:r>
      <w:proofErr w:type="gramEnd"/>
      <w:r>
        <w:t xml:space="preserve"> </w:t>
      </w:r>
      <w:r>
        <w:rPr>
          <w:i/>
        </w:rPr>
        <w:t xml:space="preserve">Federal Probation </w:t>
      </w:r>
      <w:r>
        <w:t>24: 49-55.</w:t>
      </w:r>
    </w:p>
    <w:p w:rsidR="0031076A" w:rsidRDefault="0031076A">
      <w:pPr>
        <w:pStyle w:val="BodyText"/>
      </w:pPr>
    </w:p>
    <w:p w:rsidR="0031076A" w:rsidRDefault="00935374">
      <w:pPr>
        <w:ind w:left="109" w:right="31"/>
        <w:rPr>
          <w:sz w:val="24"/>
        </w:rPr>
      </w:pPr>
      <w:proofErr w:type="gramStart"/>
      <w:r>
        <w:rPr>
          <w:sz w:val="24"/>
        </w:rPr>
        <w:t>National Resource Council (NRC).</w:t>
      </w:r>
      <w:proofErr w:type="gramEnd"/>
      <w:r>
        <w:rPr>
          <w:sz w:val="24"/>
        </w:rPr>
        <w:t xml:space="preserve"> 2014. </w:t>
      </w:r>
      <w:r>
        <w:rPr>
          <w:i/>
          <w:sz w:val="24"/>
        </w:rPr>
        <w:t xml:space="preserve">The Growth of Incarceration in the United States: Exploring Causes and Consequences. </w:t>
      </w:r>
      <w:r>
        <w:rPr>
          <w:sz w:val="24"/>
        </w:rPr>
        <w:t>J. Travis, B. Western and S. Redburn, eds. Washington, D.C.: The National Academies Press.</w:t>
      </w:r>
    </w:p>
    <w:p w:rsidR="0031076A" w:rsidRDefault="0031076A">
      <w:pPr>
        <w:pStyle w:val="BodyText"/>
        <w:spacing w:before="9"/>
        <w:rPr>
          <w:sz w:val="23"/>
        </w:rPr>
      </w:pPr>
    </w:p>
    <w:p w:rsidR="0031076A" w:rsidRDefault="00935374">
      <w:pPr>
        <w:pStyle w:val="BodyText"/>
        <w:ind w:left="109" w:right="-2276"/>
      </w:pPr>
      <w:proofErr w:type="gramStart"/>
      <w:r>
        <w:rPr>
          <w:i/>
        </w:rPr>
        <w:t>New York Times.</w:t>
      </w:r>
      <w:proofErr w:type="gramEnd"/>
      <w:r>
        <w:rPr>
          <w:i/>
        </w:rPr>
        <w:t xml:space="preserve"> </w:t>
      </w:r>
      <w:r>
        <w:t xml:space="preserve">2007. “Moral Waivers and the Military.” </w:t>
      </w:r>
      <w:proofErr w:type="gramStart"/>
      <w:r>
        <w:t>Newspaper editorial.</w:t>
      </w:r>
      <w:proofErr w:type="gramEnd"/>
      <w:r>
        <w:t xml:space="preserve"> </w:t>
      </w:r>
      <w:proofErr w:type="gramStart"/>
      <w:r>
        <w:t>February 20, p. A18.</w:t>
      </w:r>
      <w:proofErr w:type="gramEnd"/>
    </w:p>
    <w:p w:rsidR="0031076A" w:rsidRDefault="0031076A">
      <w:pPr>
        <w:pStyle w:val="BodyText"/>
      </w:pPr>
    </w:p>
    <w:p w:rsidR="0031076A" w:rsidRDefault="00935374">
      <w:pPr>
        <w:pStyle w:val="BodyText"/>
        <w:ind w:left="109" w:right="1101"/>
      </w:pPr>
      <w:proofErr w:type="gramStart"/>
      <w:r>
        <w:t>Noble, J.L., 2005.</w:t>
      </w:r>
      <w:proofErr w:type="gramEnd"/>
      <w:r>
        <w:t xml:space="preserve"> “Navy Recruits with Moral Waivers.” </w:t>
      </w:r>
      <w:proofErr w:type="gramStart"/>
      <w:r>
        <w:t>Presented at Accessions Research Conference, Navy Support Training Center, Great Lakes, Illinois.</w:t>
      </w:r>
      <w:proofErr w:type="gramEnd"/>
    </w:p>
    <w:p w:rsidR="0031076A" w:rsidRDefault="0031076A">
      <w:pPr>
        <w:pStyle w:val="BodyText"/>
        <w:spacing w:before="8"/>
        <w:rPr>
          <w:sz w:val="23"/>
        </w:rPr>
      </w:pPr>
    </w:p>
    <w:p w:rsidR="0031076A" w:rsidRDefault="00935374">
      <w:pPr>
        <w:pStyle w:val="BodyText"/>
        <w:spacing w:before="1"/>
        <w:ind w:left="109" w:right="221"/>
      </w:pPr>
      <w:r>
        <w:rPr>
          <w:w w:val="99"/>
        </w:rPr>
        <w:t>Obam</w:t>
      </w:r>
      <w:r>
        <w:rPr>
          <w:spacing w:val="1"/>
          <w:w w:val="99"/>
        </w:rPr>
        <w:t>a</w:t>
      </w:r>
      <w:r>
        <w:t xml:space="preserve">, </w:t>
      </w:r>
      <w:r>
        <w:rPr>
          <w:spacing w:val="-1"/>
        </w:rPr>
        <w:t>B</w:t>
      </w:r>
      <w:r>
        <w:rPr>
          <w:w w:val="99"/>
        </w:rPr>
        <w:t>arac</w:t>
      </w:r>
      <w:r>
        <w:t>k. 20</w:t>
      </w:r>
      <w:r>
        <w:rPr>
          <w:spacing w:val="-3"/>
        </w:rPr>
        <w:t>1</w:t>
      </w:r>
      <w:r>
        <w:t>6. “</w:t>
      </w:r>
      <w:r>
        <w:rPr>
          <w:spacing w:val="-2"/>
        </w:rPr>
        <w:t>T</w:t>
      </w:r>
      <w:r>
        <w:t>he State</w:t>
      </w:r>
      <w:r>
        <w:rPr>
          <w:spacing w:val="2"/>
        </w:rPr>
        <w:t xml:space="preserve"> </w:t>
      </w:r>
      <w:r>
        <w:t>of</w:t>
      </w:r>
      <w:r>
        <w:rPr>
          <w:spacing w:val="-1"/>
        </w:rPr>
        <w:t xml:space="preserve"> </w:t>
      </w:r>
      <w:r>
        <w:t xml:space="preserve">the </w:t>
      </w:r>
      <w:r>
        <w:rPr>
          <w:w w:val="99"/>
        </w:rPr>
        <w:t>Union</w:t>
      </w:r>
      <w:r>
        <w:t xml:space="preserve"> </w:t>
      </w:r>
      <w:r>
        <w:rPr>
          <w:w w:val="99"/>
        </w:rPr>
        <w:t>A</w:t>
      </w:r>
      <w:r>
        <w:rPr>
          <w:spacing w:val="-2"/>
          <w:w w:val="99"/>
        </w:rPr>
        <w:t>d</w:t>
      </w:r>
      <w:r>
        <w:rPr>
          <w:w w:val="99"/>
        </w:rPr>
        <w:t>d</w:t>
      </w:r>
      <w:r>
        <w:rPr>
          <w:spacing w:val="-1"/>
          <w:w w:val="99"/>
        </w:rPr>
        <w:t>r</w:t>
      </w:r>
      <w:r>
        <w:t>es</w:t>
      </w:r>
      <w:r>
        <w:rPr>
          <w:spacing w:val="-2"/>
        </w:rPr>
        <w:t>s</w:t>
      </w:r>
      <w:r>
        <w:t xml:space="preserve">.” </w:t>
      </w:r>
      <w:r>
        <w:rPr>
          <w:spacing w:val="-1"/>
        </w:rPr>
        <w:t>P</w:t>
      </w:r>
      <w:r>
        <w:t>re</w:t>
      </w:r>
      <w:r>
        <w:rPr>
          <w:spacing w:val="-2"/>
        </w:rPr>
        <w:t>s</w:t>
      </w:r>
      <w:r>
        <w:t xml:space="preserve">ented to </w:t>
      </w:r>
      <w:r>
        <w:rPr>
          <w:w w:val="99"/>
        </w:rPr>
        <w:t>a</w:t>
      </w:r>
      <w:r>
        <w:t xml:space="preserve"> </w:t>
      </w:r>
      <w:r>
        <w:rPr>
          <w:w w:val="99"/>
        </w:rPr>
        <w:t>Jo</w:t>
      </w:r>
      <w:r>
        <w:rPr>
          <w:spacing w:val="2"/>
          <w:w w:val="99"/>
        </w:rPr>
        <w:t>i</w:t>
      </w:r>
      <w:r>
        <w:t>nt Se</w:t>
      </w:r>
      <w:r>
        <w:rPr>
          <w:spacing w:val="-1"/>
        </w:rPr>
        <w:t>s</w:t>
      </w:r>
      <w:r>
        <w:rPr>
          <w:spacing w:val="-2"/>
        </w:rPr>
        <w:t>s</w:t>
      </w:r>
      <w:r>
        <w:rPr>
          <w:w w:val="99"/>
        </w:rPr>
        <w:t>ion</w:t>
      </w:r>
      <w:r>
        <w:t xml:space="preserve"> of </w:t>
      </w:r>
      <w:r>
        <w:rPr>
          <w:spacing w:val="-1"/>
        </w:rPr>
        <w:t>t</w:t>
      </w:r>
      <w:r>
        <w:t xml:space="preserve">he </w:t>
      </w:r>
      <w:r>
        <w:rPr>
          <w:w w:val="99"/>
        </w:rPr>
        <w:t>U.</w:t>
      </w:r>
      <w:r>
        <w:t>S. C</w:t>
      </w:r>
      <w:r>
        <w:rPr>
          <w:spacing w:val="-1"/>
        </w:rPr>
        <w:t>ongres</w:t>
      </w:r>
      <w:r>
        <w:rPr>
          <w:spacing w:val="-2"/>
        </w:rPr>
        <w:t>s</w:t>
      </w:r>
      <w:r>
        <w:t xml:space="preserve">, </w:t>
      </w:r>
      <w:r>
        <w:rPr>
          <w:spacing w:val="-1"/>
        </w:rPr>
        <w:t>Janu</w:t>
      </w:r>
      <w:r>
        <w:rPr>
          <w:spacing w:val="1"/>
        </w:rPr>
        <w:t>a</w:t>
      </w:r>
      <w:r>
        <w:rPr>
          <w:spacing w:val="-1"/>
        </w:rPr>
        <w:t>r</w:t>
      </w:r>
      <w:r>
        <w:t>y 12, 20</w:t>
      </w:r>
      <w:r>
        <w:rPr>
          <w:spacing w:val="-2"/>
        </w:rPr>
        <w:t>1</w:t>
      </w:r>
      <w:r>
        <w:t xml:space="preserve">6, </w:t>
      </w:r>
      <w:r>
        <w:rPr>
          <w:spacing w:val="1"/>
        </w:rPr>
        <w:t>W</w:t>
      </w:r>
      <w:r>
        <w:t>a</w:t>
      </w:r>
      <w:r>
        <w:rPr>
          <w:spacing w:val="-2"/>
        </w:rPr>
        <w:t>s</w:t>
      </w:r>
      <w:r>
        <w:rPr>
          <w:spacing w:val="-1"/>
        </w:rPr>
        <w:t>hin</w:t>
      </w:r>
      <w:r>
        <w:t>gton,</w:t>
      </w:r>
      <w:r>
        <w:rPr>
          <w:spacing w:val="-1"/>
        </w:rPr>
        <w:t xml:space="preserve"> </w:t>
      </w:r>
      <w:r>
        <w:t xml:space="preserve">D.C. </w:t>
      </w:r>
      <w:r>
        <w:rPr>
          <w:spacing w:val="2"/>
        </w:rPr>
        <w:t>(</w:t>
      </w:r>
      <w:hyperlink r:id="rId15">
        <w:r>
          <w:rPr>
            <w:color w:val="1154CC"/>
            <w:spacing w:val="-1"/>
            <w:u w:val="single" w:color="1154CC"/>
          </w:rPr>
          <w:t>htt</w:t>
        </w:r>
        <w:r>
          <w:rPr>
            <w:color w:val="1154CC"/>
            <w:spacing w:val="-3"/>
            <w:u w:val="single" w:color="1154CC"/>
          </w:rPr>
          <w:t>p</w:t>
        </w:r>
        <w:r>
          <w:rPr>
            <w:color w:val="1154CC"/>
            <w:spacing w:val="-2"/>
            <w:u w:val="single" w:color="1154CC"/>
          </w:rPr>
          <w:t>s</w:t>
        </w:r>
        <w:r>
          <w:rPr>
            <w:color w:val="1154CC"/>
            <w:u w:val="single" w:color="1154CC"/>
          </w:rPr>
          <w:t>://www.w</w:t>
        </w:r>
        <w:r>
          <w:rPr>
            <w:color w:val="1154CC"/>
            <w:spacing w:val="-1"/>
            <w:u w:val="single" w:color="1154CC"/>
          </w:rPr>
          <w:t>hitehous</w:t>
        </w:r>
        <w:r>
          <w:rPr>
            <w:color w:val="1154CC"/>
            <w:u w:val="single" w:color="1154CC"/>
          </w:rPr>
          <w:t>e</w:t>
        </w:r>
        <w:r>
          <w:rPr>
            <w:color w:val="1154CC"/>
            <w:spacing w:val="-2"/>
            <w:u w:val="single" w:color="1154CC"/>
          </w:rPr>
          <w:t>.</w:t>
        </w:r>
        <w:r>
          <w:rPr>
            <w:color w:val="1154CC"/>
            <w:u w:val="single" w:color="1154CC"/>
          </w:rPr>
          <w:t>go</w:t>
        </w:r>
        <w:r>
          <w:rPr>
            <w:color w:val="1154CC"/>
            <w:spacing w:val="-2"/>
            <w:u w:val="single" w:color="1154CC"/>
          </w:rPr>
          <w:t>v</w:t>
        </w:r>
        <w:r>
          <w:rPr>
            <w:color w:val="1154CC"/>
            <w:u w:val="single" w:color="1154CC"/>
          </w:rPr>
          <w:t>/th</w:t>
        </w:r>
        <w:r>
          <w:rPr>
            <w:color w:val="1154CC"/>
            <w:spacing w:val="1"/>
            <w:u w:val="single" w:color="1154CC"/>
          </w:rPr>
          <w:t>e</w:t>
        </w:r>
        <w:r>
          <w:rPr>
            <w:color w:val="1154CC"/>
            <w:spacing w:val="-1"/>
            <w:u w:val="single" w:color="1154CC"/>
          </w:rPr>
          <w:t>-pr</w:t>
        </w:r>
        <w:r>
          <w:rPr>
            <w:color w:val="1154CC"/>
            <w:u w:val="single" w:color="1154CC"/>
          </w:rPr>
          <w:t>es</w:t>
        </w:r>
        <w:r>
          <w:rPr>
            <w:color w:val="1154CC"/>
            <w:spacing w:val="-2"/>
            <w:u w:val="single" w:color="1154CC"/>
          </w:rPr>
          <w:t>s</w:t>
        </w:r>
        <w:r>
          <w:rPr>
            <w:color w:val="1154CC"/>
            <w:u w:val="single" w:color="1154CC"/>
          </w:rPr>
          <w:t>-</w:t>
        </w:r>
      </w:hyperlink>
      <w:r>
        <w:rPr>
          <w:color w:val="1154CC"/>
        </w:rPr>
        <w:t xml:space="preserve"> </w:t>
      </w:r>
      <w:hyperlink r:id="rId16">
        <w:r>
          <w:rPr>
            <w:color w:val="1154CC"/>
            <w:spacing w:val="-1"/>
            <w:u w:val="single" w:color="1154CC"/>
          </w:rPr>
          <w:t>off</w:t>
        </w:r>
        <w:r>
          <w:rPr>
            <w:color w:val="1154CC"/>
            <w:u w:val="single" w:color="1154CC"/>
          </w:rPr>
          <w:t>ice/2016/01/12/</w:t>
        </w:r>
        <w:r>
          <w:rPr>
            <w:color w:val="1154CC"/>
            <w:spacing w:val="-1"/>
            <w:u w:val="single" w:color="1154CC"/>
          </w:rPr>
          <w:t>r</w:t>
        </w:r>
        <w:r>
          <w:rPr>
            <w:color w:val="1154CC"/>
            <w:u w:val="single" w:color="1154CC"/>
          </w:rPr>
          <w:t>em</w:t>
        </w:r>
        <w:r>
          <w:rPr>
            <w:color w:val="1154CC"/>
            <w:spacing w:val="1"/>
            <w:u w:val="single" w:color="1154CC"/>
          </w:rPr>
          <w:t>a</w:t>
        </w:r>
        <w:r>
          <w:rPr>
            <w:color w:val="1154CC"/>
            <w:spacing w:val="-4"/>
            <w:u w:val="single" w:color="1154CC"/>
          </w:rPr>
          <w:t>r</w:t>
        </w:r>
        <w:r>
          <w:rPr>
            <w:color w:val="1154CC"/>
            <w:u w:val="single" w:color="1154CC"/>
          </w:rPr>
          <w:t>ks</w:t>
        </w:r>
        <w:r>
          <w:rPr>
            <w:color w:val="1154CC"/>
            <w:spacing w:val="-1"/>
            <w:u w:val="single" w:color="1154CC"/>
          </w:rPr>
          <w:t>-pr</w:t>
        </w:r>
        <w:r>
          <w:rPr>
            <w:color w:val="1154CC"/>
            <w:u w:val="single" w:color="1154CC"/>
          </w:rPr>
          <w:t>esiden</w:t>
        </w:r>
        <w:r>
          <w:rPr>
            <w:color w:val="1154CC"/>
            <w:spacing w:val="-1"/>
            <w:u w:val="single" w:color="1154CC"/>
          </w:rPr>
          <w:t>t-b</w:t>
        </w:r>
        <w:r>
          <w:rPr>
            <w:color w:val="1154CC"/>
            <w:u w:val="single" w:color="1154CC"/>
          </w:rPr>
          <w:t>a</w:t>
        </w:r>
        <w:r>
          <w:rPr>
            <w:color w:val="1154CC"/>
            <w:spacing w:val="-1"/>
            <w:u w:val="single" w:color="1154CC"/>
          </w:rPr>
          <w:t>ra</w:t>
        </w:r>
        <w:r>
          <w:rPr>
            <w:color w:val="1154CC"/>
            <w:u w:val="single" w:color="1154CC"/>
          </w:rPr>
          <w:t>ck</w:t>
        </w:r>
        <w:r>
          <w:rPr>
            <w:color w:val="1154CC"/>
            <w:spacing w:val="-1"/>
            <w:u w:val="single" w:color="1154CC"/>
          </w:rPr>
          <w:t>-ob</w:t>
        </w:r>
        <w:r>
          <w:rPr>
            <w:color w:val="1154CC"/>
            <w:u w:val="single" w:color="1154CC"/>
          </w:rPr>
          <w:t>ama</w:t>
        </w:r>
        <w:r>
          <w:rPr>
            <w:color w:val="1154CC"/>
            <w:spacing w:val="-1"/>
            <w:u w:val="single" w:color="1154CC"/>
          </w:rPr>
          <w:t>-%</w:t>
        </w:r>
        <w:r>
          <w:rPr>
            <w:color w:val="1154CC"/>
            <w:u w:val="single" w:color="1154CC"/>
          </w:rPr>
          <w:t>E2%80</w:t>
        </w:r>
        <w:r>
          <w:rPr>
            <w:color w:val="1154CC"/>
            <w:spacing w:val="-1"/>
            <w:u w:val="single" w:color="1154CC"/>
          </w:rPr>
          <w:t>%</w:t>
        </w:r>
        <w:r>
          <w:rPr>
            <w:color w:val="1154CC"/>
            <w:u w:val="single" w:color="1154CC"/>
          </w:rPr>
          <w:t>9</w:t>
        </w:r>
        <w:r>
          <w:rPr>
            <w:color w:val="1154CC"/>
            <w:spacing w:val="1"/>
            <w:u w:val="single" w:color="1154CC"/>
          </w:rPr>
          <w:t>3</w:t>
        </w:r>
        <w:r>
          <w:rPr>
            <w:color w:val="1154CC"/>
            <w:spacing w:val="-1"/>
            <w:u w:val="single" w:color="1154CC"/>
          </w:rPr>
          <w:t>-pr</w:t>
        </w:r>
        <w:r>
          <w:rPr>
            <w:color w:val="1154CC"/>
            <w:u w:val="single" w:color="1154CC"/>
          </w:rPr>
          <w:t>ep</w:t>
        </w:r>
        <w:r>
          <w:rPr>
            <w:color w:val="1154CC"/>
            <w:spacing w:val="1"/>
            <w:u w:val="single" w:color="1154CC"/>
          </w:rPr>
          <w:t>a</w:t>
        </w:r>
        <w:r>
          <w:rPr>
            <w:color w:val="1154CC"/>
            <w:spacing w:val="-1"/>
            <w:u w:val="single" w:color="1154CC"/>
          </w:rPr>
          <w:t>re</w:t>
        </w:r>
        <w:r>
          <w:rPr>
            <w:color w:val="1154CC"/>
            <w:u w:val="single" w:color="1154CC"/>
          </w:rPr>
          <w:t>d</w:t>
        </w:r>
        <w:r>
          <w:rPr>
            <w:color w:val="1154CC"/>
            <w:spacing w:val="-1"/>
            <w:u w:val="single" w:color="1154CC"/>
          </w:rPr>
          <w:t>-</w:t>
        </w:r>
        <w:r>
          <w:rPr>
            <w:color w:val="1154CC"/>
            <w:u w:val="single" w:color="1154CC"/>
          </w:rPr>
          <w:t>deliv</w:t>
        </w:r>
        <w:r>
          <w:rPr>
            <w:color w:val="1154CC"/>
            <w:spacing w:val="1"/>
            <w:u w:val="single" w:color="1154CC"/>
          </w:rPr>
          <w:t>e</w:t>
        </w:r>
        <w:r>
          <w:rPr>
            <w:color w:val="1154CC"/>
            <w:spacing w:val="-1"/>
            <w:u w:val="single" w:color="1154CC"/>
          </w:rPr>
          <w:t>r</w:t>
        </w:r>
        <w:r>
          <w:rPr>
            <w:color w:val="1154CC"/>
            <w:spacing w:val="1"/>
            <w:u w:val="single" w:color="1154CC"/>
          </w:rPr>
          <w:t>y</w:t>
        </w:r>
        <w:r>
          <w:rPr>
            <w:color w:val="1154CC"/>
            <w:spacing w:val="-1"/>
            <w:u w:val="single" w:color="1154CC"/>
          </w:rPr>
          <w:t>-</w:t>
        </w:r>
        <w:r>
          <w:rPr>
            <w:color w:val="1154CC"/>
            <w:spacing w:val="-2"/>
            <w:u w:val="single" w:color="1154CC"/>
          </w:rPr>
          <w:t>s</w:t>
        </w:r>
        <w:r>
          <w:rPr>
            <w:color w:val="1154CC"/>
            <w:u w:val="single" w:color="1154CC"/>
          </w:rPr>
          <w:t>tate</w:t>
        </w:r>
        <w:r>
          <w:rPr>
            <w:color w:val="1154CC"/>
            <w:spacing w:val="-1"/>
            <w:u w:val="single" w:color="1154CC"/>
          </w:rPr>
          <w:t>-</w:t>
        </w:r>
        <w:r>
          <w:rPr>
            <w:color w:val="1154CC"/>
            <w:u w:val="single" w:color="1154CC"/>
          </w:rPr>
          <w:t>unio</w:t>
        </w:r>
        <w:r>
          <w:rPr>
            <w:color w:val="1154CC"/>
            <w:spacing w:val="-1"/>
            <w:u w:val="single" w:color="1154CC"/>
          </w:rPr>
          <w:t>n</w:t>
        </w:r>
        <w:r>
          <w:rPr>
            <w:color w:val="1154CC"/>
            <w:u w:val="single" w:color="1154CC"/>
          </w:rPr>
          <w:t>-</w:t>
        </w:r>
      </w:hyperlink>
      <w:r>
        <w:rPr>
          <w:color w:val="1154CC"/>
        </w:rPr>
        <w:t xml:space="preserve"> </w:t>
      </w:r>
      <w:hyperlink r:id="rId17">
        <w:r>
          <w:rPr>
            <w:color w:val="1154CC"/>
            <w:u w:val="single" w:color="1154CC"/>
          </w:rPr>
          <w:t>addre</w:t>
        </w:r>
        <w:r>
          <w:rPr>
            <w:color w:val="1154CC"/>
            <w:spacing w:val="-2"/>
            <w:u w:val="single" w:color="1154CC"/>
          </w:rPr>
          <w:t>s</w:t>
        </w:r>
        <w:r>
          <w:rPr>
            <w:color w:val="1154CC"/>
            <w:spacing w:val="-1"/>
            <w:u w:val="single" w:color="1154CC"/>
          </w:rPr>
          <w:t>s</w:t>
        </w:r>
      </w:hyperlink>
      <w:r>
        <w:rPr>
          <w:spacing w:val="-1"/>
        </w:rPr>
        <w:t>).</w:t>
      </w:r>
    </w:p>
    <w:p w:rsidR="0031076A" w:rsidRDefault="0031076A">
      <w:pPr>
        <w:pStyle w:val="BodyText"/>
        <w:spacing w:before="10"/>
        <w:rPr>
          <w:sz w:val="16"/>
        </w:rPr>
      </w:pPr>
    </w:p>
    <w:p w:rsidR="0031076A" w:rsidRDefault="00935374">
      <w:pPr>
        <w:pStyle w:val="BodyText"/>
        <w:spacing w:before="77"/>
        <w:ind w:left="109" w:right="262"/>
      </w:pPr>
      <w:proofErr w:type="gramStart"/>
      <w:r>
        <w:t>Office of Planning, Research and Evaluation (OPRE).</w:t>
      </w:r>
      <w:proofErr w:type="gramEnd"/>
      <w:r>
        <w:t xml:space="preserve"> 2012. “More Than a Job: Final Results from the Evaluation of the Center for Employment Opportunities (CEO) Transitional Jobs Program.” </w:t>
      </w:r>
      <w:proofErr w:type="gramStart"/>
      <w:r>
        <w:t>Administration for Children and Families, U.S. Department of Health and Human Services.</w:t>
      </w:r>
      <w:proofErr w:type="gramEnd"/>
      <w:r>
        <w:t xml:space="preserve"> (</w:t>
      </w:r>
      <w:hyperlink r:id="rId18">
        <w:r>
          <w:rPr>
            <w:color w:val="0000FF"/>
            <w:u w:val="single" w:color="0000FF"/>
          </w:rPr>
          <w:t>http://www.mdrc.org/sites/default/files/full_451.pdf</w:t>
        </w:r>
      </w:hyperlink>
      <w:r>
        <w:t>)</w:t>
      </w:r>
    </w:p>
    <w:p w:rsidR="0031076A" w:rsidRDefault="0031076A">
      <w:pPr>
        <w:pStyle w:val="BodyText"/>
        <w:spacing w:before="10"/>
        <w:rPr>
          <w:sz w:val="16"/>
        </w:rPr>
      </w:pPr>
    </w:p>
    <w:p w:rsidR="0031076A" w:rsidRDefault="00935374">
      <w:pPr>
        <w:spacing w:before="77"/>
        <w:ind w:left="109" w:right="31"/>
        <w:rPr>
          <w:sz w:val="24"/>
        </w:rPr>
      </w:pPr>
      <w:proofErr w:type="gramStart"/>
      <w:r>
        <w:rPr>
          <w:sz w:val="24"/>
        </w:rPr>
        <w:t xml:space="preserve">Pager, </w:t>
      </w:r>
      <w:proofErr w:type="spellStart"/>
      <w:r>
        <w:rPr>
          <w:sz w:val="24"/>
        </w:rPr>
        <w:t>Devah</w:t>
      </w:r>
      <w:proofErr w:type="spellEnd"/>
      <w:r>
        <w:rPr>
          <w:sz w:val="24"/>
        </w:rPr>
        <w:t>.</w:t>
      </w:r>
      <w:proofErr w:type="gramEnd"/>
      <w:r>
        <w:rPr>
          <w:sz w:val="24"/>
        </w:rPr>
        <w:t xml:space="preserve"> 2003. “The Mark of a Criminal Record</w:t>
      </w:r>
      <w:r>
        <w:rPr>
          <w:i/>
          <w:sz w:val="24"/>
        </w:rPr>
        <w:t xml:space="preserve">.” American Journal of Sociology </w:t>
      </w:r>
      <w:r>
        <w:rPr>
          <w:sz w:val="24"/>
        </w:rPr>
        <w:t>108(5): 937-975.</w:t>
      </w:r>
    </w:p>
    <w:p w:rsidR="0031076A" w:rsidRDefault="0031076A">
      <w:pPr>
        <w:pStyle w:val="BodyText"/>
      </w:pPr>
    </w:p>
    <w:p w:rsidR="0031076A" w:rsidRDefault="00935374">
      <w:pPr>
        <w:ind w:left="109" w:right="31"/>
        <w:rPr>
          <w:sz w:val="24"/>
        </w:rPr>
      </w:pPr>
      <w:proofErr w:type="gramStart"/>
      <w:r>
        <w:rPr>
          <w:sz w:val="24"/>
        </w:rPr>
        <w:t xml:space="preserve">Pager, </w:t>
      </w:r>
      <w:proofErr w:type="spellStart"/>
      <w:r>
        <w:rPr>
          <w:sz w:val="24"/>
        </w:rPr>
        <w:t>Devah</w:t>
      </w:r>
      <w:proofErr w:type="spellEnd"/>
      <w:r>
        <w:rPr>
          <w:sz w:val="24"/>
        </w:rPr>
        <w:t>.</w:t>
      </w:r>
      <w:proofErr w:type="gramEnd"/>
      <w:r>
        <w:rPr>
          <w:sz w:val="24"/>
        </w:rPr>
        <w:t xml:space="preserve"> 2007. </w:t>
      </w:r>
      <w:r>
        <w:rPr>
          <w:i/>
          <w:sz w:val="24"/>
        </w:rPr>
        <w:t>Marked: Race, Crime and Finding Work in an Era of Mass Incarceration</w:t>
      </w:r>
      <w:r>
        <w:rPr>
          <w:sz w:val="24"/>
        </w:rPr>
        <w:t>. Chicago: University of Chicago Press.</w:t>
      </w:r>
    </w:p>
    <w:p w:rsidR="0031076A" w:rsidRDefault="0031076A">
      <w:pPr>
        <w:pStyle w:val="BodyText"/>
        <w:spacing w:before="11"/>
        <w:rPr>
          <w:sz w:val="23"/>
        </w:rPr>
      </w:pPr>
    </w:p>
    <w:p w:rsidR="0031076A" w:rsidRDefault="00935374">
      <w:pPr>
        <w:pStyle w:val="BodyText"/>
        <w:ind w:left="109" w:right="257"/>
      </w:pPr>
      <w:proofErr w:type="gramStart"/>
      <w:r>
        <w:t xml:space="preserve">Pager, </w:t>
      </w:r>
      <w:proofErr w:type="spellStart"/>
      <w:r>
        <w:t>Devah</w:t>
      </w:r>
      <w:proofErr w:type="spellEnd"/>
      <w:r>
        <w:t xml:space="preserve">, Bruce Western, &amp; Naomi </w:t>
      </w:r>
      <w:proofErr w:type="spellStart"/>
      <w:r>
        <w:t>Sugie</w:t>
      </w:r>
      <w:proofErr w:type="spellEnd"/>
      <w:r>
        <w:t>.</w:t>
      </w:r>
      <w:proofErr w:type="gramEnd"/>
      <w:r>
        <w:t xml:space="preserve"> 1999. “Sequencing Disadvantage: Barriers to Employment facing Young Black and White Men with Criminal Records.” Annals of the American Academy of Political and Social Science, </w:t>
      </w:r>
      <w:proofErr w:type="spellStart"/>
      <w:r>
        <w:t>vol</w:t>
      </w:r>
      <w:proofErr w:type="spellEnd"/>
      <w:r>
        <w:t xml:space="preserve"> 623 (May):195-213.</w:t>
      </w:r>
    </w:p>
    <w:p w:rsidR="0031076A" w:rsidRDefault="0031076A">
      <w:pPr>
        <w:pStyle w:val="BodyText"/>
        <w:spacing w:before="9"/>
        <w:rPr>
          <w:sz w:val="23"/>
        </w:rPr>
      </w:pPr>
    </w:p>
    <w:p w:rsidR="0031076A" w:rsidRDefault="00935374">
      <w:pPr>
        <w:ind w:left="109" w:right="131"/>
        <w:rPr>
          <w:sz w:val="24"/>
        </w:rPr>
      </w:pPr>
      <w:proofErr w:type="spellStart"/>
      <w:r>
        <w:rPr>
          <w:sz w:val="24"/>
        </w:rPr>
        <w:t>Petersilia</w:t>
      </w:r>
      <w:proofErr w:type="spellEnd"/>
      <w:r>
        <w:rPr>
          <w:sz w:val="24"/>
        </w:rPr>
        <w:t xml:space="preserve">, Joan. 2003. </w:t>
      </w:r>
      <w:r>
        <w:rPr>
          <w:i/>
          <w:sz w:val="24"/>
        </w:rPr>
        <w:t>When Prisoners Come Home: Parole and Prisoner Reentry</w:t>
      </w:r>
      <w:r>
        <w:rPr>
          <w:sz w:val="24"/>
        </w:rPr>
        <w:t>. New York: Oxford University Press.</w:t>
      </w:r>
    </w:p>
    <w:p w:rsidR="0031076A" w:rsidRDefault="0031076A">
      <w:pPr>
        <w:pStyle w:val="BodyText"/>
      </w:pPr>
    </w:p>
    <w:p w:rsidR="0031076A" w:rsidRDefault="00935374">
      <w:pPr>
        <w:pStyle w:val="BodyText"/>
        <w:ind w:left="109" w:right="395"/>
      </w:pPr>
      <w:proofErr w:type="gramStart"/>
      <w:r>
        <w:t>Pettit, Becky and Christopher Lyons.</w:t>
      </w:r>
      <w:proofErr w:type="gramEnd"/>
      <w:r>
        <w:t xml:space="preserve"> 2002. “The Consequences of Incarceration on Employment and Earnings: Evidence from Washington State.” </w:t>
      </w:r>
      <w:proofErr w:type="gramStart"/>
      <w:r>
        <w:t>Unpublished manuscript, University of Washington.</w:t>
      </w:r>
      <w:proofErr w:type="gramEnd"/>
    </w:p>
    <w:p w:rsidR="0031076A" w:rsidRDefault="0031076A">
      <w:pPr>
        <w:sectPr w:rsidR="0031076A">
          <w:pgSz w:w="12240" w:h="15840"/>
          <w:pgMar w:top="1500" w:right="1420" w:bottom="280" w:left="1240" w:header="720" w:footer="720" w:gutter="0"/>
          <w:cols w:space="720"/>
        </w:sectPr>
      </w:pPr>
    </w:p>
    <w:p w:rsidR="0031076A" w:rsidRDefault="0031076A">
      <w:pPr>
        <w:pStyle w:val="BodyText"/>
        <w:spacing w:before="8"/>
        <w:rPr>
          <w:sz w:val="11"/>
        </w:rPr>
      </w:pPr>
    </w:p>
    <w:p w:rsidR="0031076A" w:rsidRDefault="00935374">
      <w:pPr>
        <w:pStyle w:val="BodyText"/>
        <w:spacing w:before="77"/>
        <w:ind w:left="109" w:right="337"/>
      </w:pPr>
      <w:r>
        <w:t xml:space="preserve">Powers, Rod. 2014. “What the Recruiter Never Told You: Enlistment Process and Job Selection.” </w:t>
      </w:r>
      <w:proofErr w:type="gramStart"/>
      <w:r>
        <w:t>Retrieved January 29, 2016 (</w:t>
      </w:r>
      <w:hyperlink r:id="rId19">
        <w:r>
          <w:rPr>
            <w:color w:val="1154CC"/>
            <w:u w:val="single" w:color="1154CC"/>
          </w:rPr>
          <w:t>http://usmilitary.about.com/cs/joiningup/a/recruiter3.htm</w:t>
        </w:r>
      </w:hyperlink>
      <w:r>
        <w:t>).</w:t>
      </w:r>
      <w:proofErr w:type="gramEnd"/>
    </w:p>
    <w:p w:rsidR="0031076A" w:rsidRDefault="0031076A">
      <w:pPr>
        <w:pStyle w:val="BodyText"/>
        <w:spacing w:before="1"/>
        <w:rPr>
          <w:sz w:val="17"/>
        </w:rPr>
      </w:pPr>
    </w:p>
    <w:p w:rsidR="0031076A" w:rsidRDefault="00935374">
      <w:pPr>
        <w:pStyle w:val="BodyText"/>
        <w:spacing w:before="77"/>
        <w:ind w:left="109" w:right="102"/>
      </w:pPr>
      <w:proofErr w:type="gramStart"/>
      <w:r>
        <w:t>Recruiting Division.</w:t>
      </w:r>
      <w:proofErr w:type="gramEnd"/>
      <w:r>
        <w:t xml:space="preserve"> 2013. “The Importance of Conducting Background Checks in Recruitment” (by Greenberg, Andrew). </w:t>
      </w:r>
      <w:hyperlink r:id="rId20">
        <w:r>
          <w:rPr>
            <w:color w:val="1154CC"/>
            <w:u w:val="single" w:color="1154CC"/>
          </w:rPr>
          <w:t>http://www.recruitingdivision.com/the-importance-of-conducting-</w:t>
        </w:r>
      </w:hyperlink>
      <w:r>
        <w:rPr>
          <w:color w:val="1154CC"/>
          <w:u w:val="single" w:color="1154CC"/>
        </w:rPr>
        <w:t xml:space="preserve"> </w:t>
      </w:r>
      <w:hyperlink r:id="rId21">
        <w:r>
          <w:rPr>
            <w:color w:val="1154CC"/>
            <w:u w:val="single" w:color="1154CC"/>
          </w:rPr>
          <w:t>background-checks-in-recruitment/</w:t>
        </w:r>
      </w:hyperlink>
    </w:p>
    <w:p w:rsidR="0031076A" w:rsidRDefault="0031076A">
      <w:pPr>
        <w:pStyle w:val="BodyText"/>
        <w:spacing w:before="10"/>
        <w:rPr>
          <w:sz w:val="16"/>
        </w:rPr>
      </w:pPr>
    </w:p>
    <w:p w:rsidR="0031076A" w:rsidRDefault="00935374">
      <w:pPr>
        <w:pStyle w:val="BodyText"/>
        <w:spacing w:before="77"/>
        <w:ind w:left="109" w:right="98"/>
      </w:pPr>
      <w:r>
        <w:t xml:space="preserve">Sabol, William J. 2007. </w:t>
      </w:r>
      <w:proofErr w:type="gramStart"/>
      <w:r>
        <w:t>"Local Labor Market Conditions and Post-Prison Employment Experiences of Offenders Released from Ohio State Prisons." in Barriers to Reentry?</w:t>
      </w:r>
      <w:proofErr w:type="gramEnd"/>
      <w:r>
        <w:t xml:space="preserve"> </w:t>
      </w:r>
      <w:proofErr w:type="gramStart"/>
      <w:r>
        <w:t>The Labor Market for Released Prisoners in Post-Industrial America.</w:t>
      </w:r>
      <w:proofErr w:type="gramEnd"/>
      <w:r>
        <w:t xml:space="preserve"> </w:t>
      </w:r>
      <w:proofErr w:type="gramStart"/>
      <w:r>
        <w:t xml:space="preserve">Eds. Shawn </w:t>
      </w:r>
      <w:proofErr w:type="spellStart"/>
      <w:r>
        <w:t>Bushway</w:t>
      </w:r>
      <w:proofErr w:type="spellEnd"/>
      <w:r>
        <w:t xml:space="preserve">, Michael A. Stoll, and David F. </w:t>
      </w:r>
      <w:proofErr w:type="spellStart"/>
      <w:r>
        <w:t>Weiman</w:t>
      </w:r>
      <w:proofErr w:type="spellEnd"/>
      <w:r>
        <w:t>.</w:t>
      </w:r>
      <w:proofErr w:type="gramEnd"/>
      <w:r>
        <w:t xml:space="preserve"> New York: Russell Sage Foundation.</w:t>
      </w:r>
    </w:p>
    <w:p w:rsidR="0031076A" w:rsidRDefault="0031076A">
      <w:pPr>
        <w:pStyle w:val="BodyText"/>
        <w:spacing w:before="9"/>
        <w:rPr>
          <w:sz w:val="23"/>
        </w:rPr>
      </w:pPr>
    </w:p>
    <w:p w:rsidR="0031076A" w:rsidRDefault="00935374">
      <w:pPr>
        <w:ind w:left="109" w:right="608"/>
        <w:jc w:val="both"/>
        <w:rPr>
          <w:sz w:val="24"/>
        </w:rPr>
      </w:pPr>
      <w:proofErr w:type="spellStart"/>
      <w:proofErr w:type="gramStart"/>
      <w:r>
        <w:rPr>
          <w:sz w:val="24"/>
        </w:rPr>
        <w:t>Sahin</w:t>
      </w:r>
      <w:proofErr w:type="spellEnd"/>
      <w:r>
        <w:rPr>
          <w:sz w:val="24"/>
        </w:rPr>
        <w:t xml:space="preserve">, F., &amp; </w:t>
      </w:r>
      <w:proofErr w:type="spellStart"/>
      <w:r>
        <w:rPr>
          <w:sz w:val="24"/>
        </w:rPr>
        <w:t>Ayhan</w:t>
      </w:r>
      <w:proofErr w:type="spellEnd"/>
      <w:r>
        <w:rPr>
          <w:sz w:val="24"/>
        </w:rPr>
        <w:t>, S. (2009).</w:t>
      </w:r>
      <w:proofErr w:type="gramEnd"/>
      <w:r>
        <w:rPr>
          <w:sz w:val="24"/>
        </w:rPr>
        <w:t xml:space="preserve"> </w:t>
      </w:r>
      <w:r>
        <w:rPr>
          <w:i/>
          <w:sz w:val="24"/>
        </w:rPr>
        <w:t>The Next Best Alternative to an Ideal Recruit: Attrition Characteristics of Recruits with Waivers and Low Educational Credentials in the US Army</w:t>
      </w:r>
      <w:r>
        <w:rPr>
          <w:sz w:val="24"/>
        </w:rPr>
        <w:t xml:space="preserve">. </w:t>
      </w:r>
      <w:proofErr w:type="gramStart"/>
      <w:r>
        <w:rPr>
          <w:sz w:val="24"/>
        </w:rPr>
        <w:t>NAVAL POSTGRADUATE SCHOOL MONTEREY</w:t>
      </w:r>
      <w:r>
        <w:rPr>
          <w:spacing w:val="-18"/>
          <w:sz w:val="24"/>
        </w:rPr>
        <w:t xml:space="preserve"> </w:t>
      </w:r>
      <w:r>
        <w:rPr>
          <w:sz w:val="24"/>
        </w:rPr>
        <w:t>CA.</w:t>
      </w:r>
      <w:proofErr w:type="gramEnd"/>
    </w:p>
    <w:p w:rsidR="0031076A" w:rsidRDefault="0031076A">
      <w:pPr>
        <w:pStyle w:val="BodyText"/>
        <w:spacing w:before="8"/>
        <w:rPr>
          <w:sz w:val="23"/>
        </w:rPr>
      </w:pPr>
    </w:p>
    <w:p w:rsidR="0031076A" w:rsidRDefault="00935374">
      <w:pPr>
        <w:pStyle w:val="BodyText"/>
        <w:spacing w:before="1"/>
        <w:ind w:left="109" w:right="426"/>
      </w:pPr>
      <w:proofErr w:type="gramStart"/>
      <w:r>
        <w:t xml:space="preserve">Sampson and </w:t>
      </w:r>
      <w:proofErr w:type="spellStart"/>
      <w:r>
        <w:t>Laub</w:t>
      </w:r>
      <w:proofErr w:type="spellEnd"/>
      <w:r>
        <w:t xml:space="preserve"> 1995.</w:t>
      </w:r>
      <w:proofErr w:type="gramEnd"/>
      <w:r>
        <w:t xml:space="preserve"> </w:t>
      </w:r>
      <w:hyperlink r:id="rId22">
        <w:r>
          <w:rPr>
            <w:color w:val="1154CC"/>
            <w:u w:val="single" w:color="1154CC"/>
          </w:rPr>
          <w:t>http://psycnet.apa.org/psycinfo/1996-34567-001</w:t>
        </w:r>
      </w:hyperlink>
    </w:p>
    <w:p w:rsidR="0031076A" w:rsidRDefault="0031076A">
      <w:pPr>
        <w:pStyle w:val="BodyText"/>
        <w:spacing w:before="1"/>
        <w:rPr>
          <w:sz w:val="17"/>
        </w:rPr>
      </w:pPr>
    </w:p>
    <w:p w:rsidR="0031076A" w:rsidRDefault="00935374">
      <w:pPr>
        <w:pStyle w:val="BodyText"/>
        <w:spacing w:before="77"/>
        <w:ind w:left="109" w:right="204"/>
      </w:pPr>
      <w:r>
        <w:t>SEARCH Group, Incorporated. 2005. “Report of the National Task Force on the Commercial Sale of Criminal Justice Information.” Sacramento, CA: SEARCH Group, Inc.</w:t>
      </w:r>
    </w:p>
    <w:p w:rsidR="0031076A" w:rsidRDefault="0031076A">
      <w:pPr>
        <w:pStyle w:val="BodyText"/>
      </w:pPr>
    </w:p>
    <w:p w:rsidR="0031076A" w:rsidRDefault="00935374">
      <w:pPr>
        <w:pStyle w:val="BodyText"/>
        <w:ind w:left="109" w:right="426"/>
      </w:pPr>
      <w:r>
        <w:t xml:space="preserve">Shattuck, E. S. (1945). </w:t>
      </w:r>
      <w:proofErr w:type="gramStart"/>
      <w:r>
        <w:t>Military Service for Men with Criminal Records.</w:t>
      </w:r>
      <w:proofErr w:type="gramEnd"/>
      <w:r>
        <w:t xml:space="preserve"> </w:t>
      </w:r>
      <w:proofErr w:type="gramStart"/>
      <w:r>
        <w:rPr>
          <w:i/>
        </w:rPr>
        <w:t>Fed.</w:t>
      </w:r>
      <w:proofErr w:type="gramEnd"/>
      <w:r>
        <w:rPr>
          <w:i/>
        </w:rPr>
        <w:t xml:space="preserve"> </w:t>
      </w:r>
      <w:proofErr w:type="gramStart"/>
      <w:r>
        <w:rPr>
          <w:i/>
        </w:rPr>
        <w:t>Probation</w:t>
      </w:r>
      <w:r>
        <w:t xml:space="preserve">, </w:t>
      </w:r>
      <w:r>
        <w:rPr>
          <w:i/>
        </w:rPr>
        <w:t>9</w:t>
      </w:r>
      <w:r>
        <w:t>, 12.</w:t>
      </w:r>
      <w:proofErr w:type="gramEnd"/>
    </w:p>
    <w:p w:rsidR="0031076A" w:rsidRDefault="0031076A">
      <w:pPr>
        <w:pStyle w:val="BodyText"/>
        <w:spacing w:before="8"/>
        <w:rPr>
          <w:sz w:val="23"/>
        </w:rPr>
      </w:pPr>
    </w:p>
    <w:p w:rsidR="0031076A" w:rsidRDefault="00935374">
      <w:pPr>
        <w:pStyle w:val="BodyText"/>
        <w:spacing w:before="1"/>
        <w:ind w:left="109" w:right="476"/>
      </w:pPr>
      <w:proofErr w:type="gramStart"/>
      <w:r>
        <w:t xml:space="preserve">Society </w:t>
      </w:r>
      <w:r>
        <w:rPr>
          <w:w w:val="99"/>
        </w:rPr>
        <w:t>for</w:t>
      </w:r>
      <w:r>
        <w:rPr>
          <w:spacing w:val="-2"/>
        </w:rPr>
        <w:t xml:space="preserve"> </w:t>
      </w:r>
      <w:r>
        <w:rPr>
          <w:w w:val="99"/>
        </w:rPr>
        <w:t>Human</w:t>
      </w:r>
      <w:r>
        <w:t xml:space="preserve"> Reso</w:t>
      </w:r>
      <w:r>
        <w:rPr>
          <w:spacing w:val="-3"/>
        </w:rPr>
        <w:t>u</w:t>
      </w:r>
      <w:r>
        <w:t xml:space="preserve">rce </w:t>
      </w:r>
      <w:r>
        <w:rPr>
          <w:w w:val="99"/>
        </w:rPr>
        <w:t>Mana</w:t>
      </w:r>
      <w:r>
        <w:t>ge</w:t>
      </w:r>
      <w:r>
        <w:rPr>
          <w:spacing w:val="-3"/>
        </w:rPr>
        <w:t>m</w:t>
      </w:r>
      <w:r>
        <w:t>ent (SHR</w:t>
      </w:r>
      <w:r>
        <w:rPr>
          <w:spacing w:val="-1"/>
          <w:w w:val="99"/>
        </w:rPr>
        <w:t>M</w:t>
      </w:r>
      <w:r>
        <w:t>).</w:t>
      </w:r>
      <w:proofErr w:type="gramEnd"/>
      <w:r>
        <w:t xml:space="preserve"> 2012. “</w:t>
      </w:r>
      <w:r>
        <w:rPr>
          <w:spacing w:val="-2"/>
        </w:rPr>
        <w:t>B</w:t>
      </w:r>
      <w:r>
        <w:rPr>
          <w:w w:val="99"/>
        </w:rPr>
        <w:t>a</w:t>
      </w:r>
      <w:r>
        <w:t>ck</w:t>
      </w:r>
      <w:r>
        <w:rPr>
          <w:w w:val="99"/>
        </w:rPr>
        <w:t>ground</w:t>
      </w:r>
      <w:r>
        <w:t xml:space="preserve"> </w:t>
      </w:r>
      <w:r>
        <w:rPr>
          <w:w w:val="99"/>
        </w:rPr>
        <w:t>C</w:t>
      </w:r>
      <w:r>
        <w:rPr>
          <w:spacing w:val="-3"/>
          <w:w w:val="99"/>
        </w:rPr>
        <w:t>h</w:t>
      </w:r>
      <w:r>
        <w:t>e</w:t>
      </w:r>
      <w:r>
        <w:rPr>
          <w:spacing w:val="-1"/>
        </w:rPr>
        <w:t>c</w:t>
      </w:r>
      <w:r>
        <w:t>kin</w:t>
      </w:r>
      <w:r>
        <w:rPr>
          <w:spacing w:val="5"/>
        </w:rPr>
        <w:t>g</w:t>
      </w:r>
      <w:r>
        <w:t>—</w:t>
      </w:r>
      <w:r>
        <w:rPr>
          <w:spacing w:val="-2"/>
        </w:rPr>
        <w:t>T</w:t>
      </w:r>
      <w:r>
        <w:rPr>
          <w:spacing w:val="-1"/>
        </w:rPr>
        <w:t>h</w:t>
      </w:r>
      <w:r>
        <w:t xml:space="preserve">e </w:t>
      </w:r>
      <w:r>
        <w:rPr>
          <w:spacing w:val="-1"/>
        </w:rPr>
        <w:t>Us</w:t>
      </w:r>
      <w:r>
        <w:t xml:space="preserve">e </w:t>
      </w:r>
      <w:r>
        <w:rPr>
          <w:spacing w:val="-1"/>
        </w:rPr>
        <w:t xml:space="preserve">of </w:t>
      </w:r>
      <w:r>
        <w:rPr>
          <w:w w:val="99"/>
        </w:rPr>
        <w:t>Cri</w:t>
      </w:r>
      <w:r>
        <w:rPr>
          <w:spacing w:val="-1"/>
          <w:w w:val="99"/>
        </w:rPr>
        <w:t>m</w:t>
      </w:r>
      <w:r>
        <w:rPr>
          <w:w w:val="99"/>
        </w:rPr>
        <w:t xml:space="preserve">inal </w:t>
      </w:r>
      <w:r>
        <w:rPr>
          <w:spacing w:val="-1"/>
        </w:rPr>
        <w:t>B</w:t>
      </w:r>
      <w:r>
        <w:rPr>
          <w:w w:val="99"/>
        </w:rPr>
        <w:t>a</w:t>
      </w:r>
      <w:r>
        <w:t>ck</w:t>
      </w:r>
      <w:r>
        <w:rPr>
          <w:w w:val="99"/>
        </w:rPr>
        <w:t>ground</w:t>
      </w:r>
      <w:r>
        <w:t xml:space="preserve"> </w:t>
      </w:r>
      <w:r>
        <w:rPr>
          <w:w w:val="99"/>
        </w:rPr>
        <w:t>C</w:t>
      </w:r>
      <w:r>
        <w:rPr>
          <w:spacing w:val="-3"/>
          <w:w w:val="99"/>
        </w:rPr>
        <w:t>h</w:t>
      </w:r>
      <w:r>
        <w:rPr>
          <w:spacing w:val="-2"/>
        </w:rPr>
        <w:t>e</w:t>
      </w:r>
      <w:r>
        <w:t>cks</w:t>
      </w:r>
      <w:r>
        <w:rPr>
          <w:spacing w:val="-2"/>
        </w:rPr>
        <w:t xml:space="preserve"> </w:t>
      </w:r>
      <w:r>
        <w:rPr>
          <w:w w:val="99"/>
        </w:rPr>
        <w:t>in</w:t>
      </w:r>
      <w:r>
        <w:t xml:space="preserve"> </w:t>
      </w:r>
      <w:r>
        <w:rPr>
          <w:w w:val="99"/>
        </w:rPr>
        <w:t>Hiring</w:t>
      </w:r>
      <w:r>
        <w:t xml:space="preserve"> Deci</w:t>
      </w:r>
      <w:r>
        <w:rPr>
          <w:spacing w:val="-2"/>
        </w:rPr>
        <w:t>s</w:t>
      </w:r>
      <w:r>
        <w:rPr>
          <w:w w:val="99"/>
        </w:rPr>
        <w:t>ion</w:t>
      </w:r>
      <w:r>
        <w:rPr>
          <w:spacing w:val="-1"/>
          <w:w w:val="99"/>
        </w:rPr>
        <w:t>s</w:t>
      </w:r>
      <w:r>
        <w:t xml:space="preserve">.” </w:t>
      </w:r>
      <w:r>
        <w:rPr>
          <w:spacing w:val="-1"/>
        </w:rPr>
        <w:t>(</w:t>
      </w:r>
      <w:hyperlink r:id="rId23">
        <w:r>
          <w:rPr>
            <w:color w:val="1154CC"/>
            <w:spacing w:val="-1"/>
            <w:u w:val="single" w:color="1154CC"/>
          </w:rPr>
          <w:t>http://</w:t>
        </w:r>
        <w:r>
          <w:rPr>
            <w:color w:val="1154CC"/>
            <w:spacing w:val="1"/>
            <w:u w:val="single" w:color="1154CC"/>
          </w:rPr>
          <w:t>w</w:t>
        </w:r>
        <w:r>
          <w:rPr>
            <w:color w:val="1154CC"/>
            <w:u w:val="single" w:color="1154CC"/>
          </w:rPr>
          <w:t>ww.</w:t>
        </w:r>
        <w:r>
          <w:rPr>
            <w:color w:val="1154CC"/>
            <w:spacing w:val="-1"/>
            <w:u w:val="single" w:color="1154CC"/>
          </w:rPr>
          <w:t>shr</w:t>
        </w:r>
        <w:r>
          <w:rPr>
            <w:color w:val="1154CC"/>
            <w:u w:val="single" w:color="1154CC"/>
          </w:rPr>
          <w:t>m.org/</w:t>
        </w:r>
        <w:r>
          <w:rPr>
            <w:color w:val="1154CC"/>
            <w:spacing w:val="-2"/>
            <w:u w:val="single" w:color="1154CC"/>
          </w:rPr>
          <w:t>r</w:t>
        </w:r>
        <w:r>
          <w:rPr>
            <w:color w:val="1154CC"/>
            <w:u w:val="single" w:color="1154CC"/>
          </w:rPr>
          <w:t>esea</w:t>
        </w:r>
        <w:r>
          <w:rPr>
            <w:color w:val="1154CC"/>
            <w:spacing w:val="-1"/>
            <w:u w:val="single" w:color="1154CC"/>
          </w:rPr>
          <w:t>rch/s</w:t>
        </w:r>
        <w:r>
          <w:rPr>
            <w:color w:val="1154CC"/>
            <w:u w:val="single" w:color="1154CC"/>
          </w:rPr>
          <w:t>u</w:t>
        </w:r>
        <w:r>
          <w:rPr>
            <w:color w:val="1154CC"/>
            <w:spacing w:val="-1"/>
            <w:u w:val="single" w:color="1154CC"/>
          </w:rPr>
          <w:t>r</w:t>
        </w:r>
        <w:r>
          <w:rPr>
            <w:color w:val="1154CC"/>
            <w:u w:val="single" w:color="1154CC"/>
          </w:rPr>
          <w:t>veyfinding</w:t>
        </w:r>
        <w:r>
          <w:rPr>
            <w:color w:val="1154CC"/>
            <w:spacing w:val="-2"/>
            <w:u w:val="single" w:color="1154CC"/>
          </w:rPr>
          <w:t>s</w:t>
        </w:r>
        <w:r>
          <w:rPr>
            <w:color w:val="1154CC"/>
            <w:u w:val="single" w:color="1154CC"/>
          </w:rPr>
          <w:t>/a</w:t>
        </w:r>
        <w:r>
          <w:rPr>
            <w:color w:val="1154CC"/>
            <w:spacing w:val="-1"/>
            <w:u w:val="single" w:color="1154CC"/>
          </w:rPr>
          <w:t>r</w:t>
        </w:r>
        <w:r>
          <w:rPr>
            <w:color w:val="1154CC"/>
            <w:spacing w:val="-2"/>
            <w:u w:val="single" w:color="1154CC"/>
          </w:rPr>
          <w:t>t</w:t>
        </w:r>
        <w:r>
          <w:rPr>
            <w:color w:val="1154CC"/>
            <w:u w:val="single" w:color="1154CC"/>
          </w:rPr>
          <w:t>icle</w:t>
        </w:r>
        <w:r>
          <w:rPr>
            <w:color w:val="1154CC"/>
            <w:spacing w:val="-2"/>
            <w:u w:val="single" w:color="1154CC"/>
          </w:rPr>
          <w:t>s</w:t>
        </w:r>
        <w:r>
          <w:rPr>
            <w:color w:val="1154CC"/>
            <w:u w:val="single" w:color="1154CC"/>
          </w:rPr>
          <w:t>/pag</w:t>
        </w:r>
        <w:r>
          <w:rPr>
            <w:color w:val="1154CC"/>
            <w:spacing w:val="1"/>
            <w:u w:val="single" w:color="1154CC"/>
          </w:rPr>
          <w:t>e</w:t>
        </w:r>
        <w:r>
          <w:rPr>
            <w:color w:val="1154CC"/>
            <w:spacing w:val="-2"/>
            <w:u w:val="single" w:color="1154CC"/>
          </w:rPr>
          <w:t>s</w:t>
        </w:r>
        <w:r>
          <w:rPr>
            <w:color w:val="1154CC"/>
            <w:u w:val="single" w:color="1154CC"/>
          </w:rPr>
          <w:t>/c</w:t>
        </w:r>
        <w:r>
          <w:rPr>
            <w:color w:val="1154CC"/>
            <w:spacing w:val="-1"/>
            <w:u w:val="single" w:color="1154CC"/>
          </w:rPr>
          <w:t>rim</w:t>
        </w:r>
        <w:r>
          <w:rPr>
            <w:color w:val="1154CC"/>
            <w:u w:val="single" w:color="1154CC"/>
          </w:rPr>
          <w:t>inal</w:t>
        </w:r>
        <w:r>
          <w:rPr>
            <w:color w:val="1154CC"/>
            <w:spacing w:val="-3"/>
            <w:u w:val="single" w:color="1154CC"/>
          </w:rPr>
          <w:t>b</w:t>
        </w:r>
        <w:r>
          <w:rPr>
            <w:color w:val="1154CC"/>
            <w:u w:val="single" w:color="1154CC"/>
          </w:rPr>
          <w:t>ack</w:t>
        </w:r>
        <w:r>
          <w:rPr>
            <w:color w:val="1154CC"/>
            <w:spacing w:val="-2"/>
            <w:u w:val="single" w:color="1154CC"/>
          </w:rPr>
          <w:t>g</w:t>
        </w:r>
        <w:r>
          <w:rPr>
            <w:color w:val="1154CC"/>
            <w:spacing w:val="-1"/>
            <w:u w:val="single" w:color="1154CC"/>
          </w:rPr>
          <w:t>roundch</w:t>
        </w:r>
        <w:r>
          <w:rPr>
            <w:color w:val="1154CC"/>
            <w:spacing w:val="1"/>
            <w:u w:val="single" w:color="1154CC"/>
          </w:rPr>
          <w:t>e</w:t>
        </w:r>
        <w:r>
          <w:rPr>
            <w:color w:val="1154CC"/>
            <w:u w:val="single" w:color="1154CC"/>
          </w:rPr>
          <w:t>ck.a</w:t>
        </w:r>
        <w:r>
          <w:rPr>
            <w:color w:val="1154CC"/>
            <w:spacing w:val="-2"/>
            <w:u w:val="single" w:color="1154CC"/>
          </w:rPr>
          <w:t>s</w:t>
        </w:r>
        <w:r>
          <w:rPr>
            <w:color w:val="1154CC"/>
            <w:spacing w:val="-1"/>
            <w:u w:val="single" w:color="1154CC"/>
          </w:rPr>
          <w:t>p</w:t>
        </w:r>
        <w:r>
          <w:rPr>
            <w:color w:val="1154CC"/>
            <w:spacing w:val="6"/>
            <w:u w:val="single" w:color="1154CC"/>
          </w:rPr>
          <w:t>x</w:t>
        </w:r>
      </w:hyperlink>
      <w:r>
        <w:rPr>
          <w:color w:val="1154CC"/>
          <w:spacing w:val="-1"/>
          <w:u w:val="single" w:color="1154CC"/>
        </w:rPr>
        <w:t>).</w:t>
      </w:r>
    </w:p>
    <w:p w:rsidR="0031076A" w:rsidRDefault="0031076A">
      <w:pPr>
        <w:pStyle w:val="BodyText"/>
        <w:spacing w:before="1"/>
        <w:rPr>
          <w:sz w:val="17"/>
        </w:rPr>
      </w:pPr>
    </w:p>
    <w:p w:rsidR="0031076A" w:rsidRDefault="00935374">
      <w:pPr>
        <w:pStyle w:val="BodyText"/>
        <w:spacing w:before="77"/>
        <w:ind w:left="109" w:right="372"/>
      </w:pPr>
      <w:proofErr w:type="spellStart"/>
      <w:r>
        <w:t>Uggen</w:t>
      </w:r>
      <w:proofErr w:type="spellEnd"/>
      <w:r>
        <w:t xml:space="preserve">, Christopher. 2000. “Work as a Turning Point in the Life Course of Criminals: A Duration Model of Age, Employment and Recidivism.” </w:t>
      </w:r>
      <w:r>
        <w:rPr>
          <w:i/>
        </w:rPr>
        <w:t xml:space="preserve">American Sociological Review </w:t>
      </w:r>
      <w:r>
        <w:t xml:space="preserve">65(4): 529-549. </w:t>
      </w:r>
      <w:hyperlink r:id="rId24">
        <w:r>
          <w:rPr>
            <w:color w:val="0000FF"/>
            <w:u w:val="single" w:color="0000FF"/>
          </w:rPr>
          <w:t>http://www.socsci.umn.edu/~uggen/Uggen_asr_00.pdf</w:t>
        </w:r>
      </w:hyperlink>
    </w:p>
    <w:p w:rsidR="0031076A" w:rsidRDefault="0031076A">
      <w:pPr>
        <w:pStyle w:val="BodyText"/>
        <w:spacing w:before="10"/>
        <w:rPr>
          <w:sz w:val="16"/>
        </w:rPr>
      </w:pPr>
    </w:p>
    <w:p w:rsidR="0031076A" w:rsidRDefault="00935374">
      <w:pPr>
        <w:spacing w:before="77"/>
        <w:ind w:left="109" w:right="1364"/>
        <w:rPr>
          <w:sz w:val="24"/>
        </w:rPr>
      </w:pPr>
      <w:proofErr w:type="spellStart"/>
      <w:proofErr w:type="gramStart"/>
      <w:r>
        <w:rPr>
          <w:sz w:val="24"/>
        </w:rPr>
        <w:t>Uggen</w:t>
      </w:r>
      <w:proofErr w:type="spellEnd"/>
      <w:r>
        <w:rPr>
          <w:sz w:val="24"/>
        </w:rPr>
        <w:t xml:space="preserve">, Christopher, Sarah Shannon, and Jeff </w:t>
      </w:r>
      <w:proofErr w:type="spellStart"/>
      <w:r>
        <w:rPr>
          <w:sz w:val="24"/>
        </w:rPr>
        <w:t>Manza</w:t>
      </w:r>
      <w:proofErr w:type="spellEnd"/>
      <w:r>
        <w:rPr>
          <w:sz w:val="24"/>
        </w:rPr>
        <w:t>.</w:t>
      </w:r>
      <w:proofErr w:type="gramEnd"/>
      <w:r>
        <w:rPr>
          <w:sz w:val="24"/>
        </w:rPr>
        <w:t xml:space="preserve"> 2012. </w:t>
      </w:r>
      <w:r>
        <w:rPr>
          <w:i/>
          <w:sz w:val="24"/>
        </w:rPr>
        <w:t xml:space="preserve">State-Level Estimates of Felon Disenfranchisement in the United States, 2010. </w:t>
      </w:r>
      <w:r>
        <w:rPr>
          <w:sz w:val="24"/>
        </w:rPr>
        <w:t>Washington DC: Sentencing Project.</w:t>
      </w:r>
    </w:p>
    <w:p w:rsidR="0031076A" w:rsidRDefault="0031076A">
      <w:pPr>
        <w:pStyle w:val="BodyText"/>
      </w:pPr>
    </w:p>
    <w:p w:rsidR="0031076A" w:rsidRDefault="00935374">
      <w:pPr>
        <w:ind w:left="109" w:right="120"/>
        <w:rPr>
          <w:rFonts w:ascii="Calibri"/>
        </w:rPr>
      </w:pPr>
      <w:proofErr w:type="spellStart"/>
      <w:r>
        <w:rPr>
          <w:sz w:val="24"/>
        </w:rPr>
        <w:t>Visher</w:t>
      </w:r>
      <w:proofErr w:type="spellEnd"/>
      <w:r>
        <w:rPr>
          <w:sz w:val="24"/>
        </w:rPr>
        <w:t xml:space="preserve">, C. (2010). Life after prison: Tracking the experiences of male prisoners returning to Chicago, Cleveland, and Houston. </w:t>
      </w:r>
      <w:hyperlink r:id="rId25">
        <w:r>
          <w:rPr>
            <w:rFonts w:ascii="Calibri"/>
            <w:color w:val="1154CC"/>
            <w:u w:val="single" w:color="1154CC"/>
          </w:rPr>
          <w:t>http://www.urban.org/sites/default/files/alfresco/publication-pdfs/412100-</w:t>
        </w:r>
      </w:hyperlink>
      <w:r>
        <w:rPr>
          <w:rFonts w:ascii="Calibri"/>
          <w:color w:val="1154CC"/>
          <w:u w:val="single" w:color="1154CC"/>
        </w:rPr>
        <w:t xml:space="preserve"> </w:t>
      </w:r>
      <w:hyperlink r:id="rId26">
        <w:r>
          <w:rPr>
            <w:rFonts w:ascii="Calibri"/>
            <w:color w:val="1154CC"/>
            <w:u w:val="single" w:color="1154CC"/>
          </w:rPr>
          <w:t>Life-after-Prison-Tracking-the-Experiences-of-Male-Prisoners-Returning-to-Chicago-Cleveland-and-</w:t>
        </w:r>
      </w:hyperlink>
      <w:r>
        <w:rPr>
          <w:rFonts w:ascii="Calibri"/>
          <w:color w:val="1154CC"/>
          <w:u w:val="single" w:color="1154CC"/>
        </w:rPr>
        <w:t xml:space="preserve"> </w:t>
      </w:r>
      <w:hyperlink r:id="rId27">
        <w:r>
          <w:rPr>
            <w:rFonts w:ascii="Calibri"/>
            <w:color w:val="1154CC"/>
            <w:u w:val="single" w:color="1154CC"/>
          </w:rPr>
          <w:t>Houston.PDF</w:t>
        </w:r>
      </w:hyperlink>
    </w:p>
    <w:p w:rsidR="0031076A" w:rsidRDefault="0031076A">
      <w:pPr>
        <w:pStyle w:val="BodyText"/>
        <w:spacing w:before="11"/>
        <w:rPr>
          <w:rFonts w:ascii="Calibri"/>
          <w:sz w:val="15"/>
        </w:rPr>
      </w:pPr>
    </w:p>
    <w:p w:rsidR="0031076A" w:rsidRDefault="00935374">
      <w:pPr>
        <w:spacing w:before="77"/>
        <w:ind w:left="109" w:right="98"/>
        <w:rPr>
          <w:sz w:val="24"/>
        </w:rPr>
      </w:pPr>
      <w:proofErr w:type="gramStart"/>
      <w:r>
        <w:rPr>
          <w:sz w:val="24"/>
        </w:rPr>
        <w:t xml:space="preserve">Wenger, J. W., &amp; </w:t>
      </w:r>
      <w:proofErr w:type="spellStart"/>
      <w:r>
        <w:rPr>
          <w:sz w:val="24"/>
        </w:rPr>
        <w:t>Hodari</w:t>
      </w:r>
      <w:proofErr w:type="spellEnd"/>
      <w:r>
        <w:rPr>
          <w:sz w:val="24"/>
        </w:rPr>
        <w:t>, A. K. (2004).</w:t>
      </w:r>
      <w:proofErr w:type="gramEnd"/>
      <w:r>
        <w:rPr>
          <w:sz w:val="24"/>
        </w:rPr>
        <w:t xml:space="preserve"> </w:t>
      </w:r>
      <w:r>
        <w:rPr>
          <w:i/>
          <w:sz w:val="24"/>
        </w:rPr>
        <w:t xml:space="preserve">Predictors of attrition: Attitudes, behaviors, and educational characteristics </w:t>
      </w:r>
      <w:r>
        <w:rPr>
          <w:sz w:val="24"/>
        </w:rPr>
        <w:t xml:space="preserve">(No. </w:t>
      </w:r>
      <w:proofErr w:type="gramStart"/>
      <w:r>
        <w:rPr>
          <w:sz w:val="24"/>
        </w:rPr>
        <w:t>CRM-D0010146.</w:t>
      </w:r>
      <w:proofErr w:type="gramEnd"/>
      <w:r>
        <w:rPr>
          <w:sz w:val="24"/>
        </w:rPr>
        <w:t xml:space="preserve"> A2). </w:t>
      </w:r>
      <w:proofErr w:type="gramStart"/>
      <w:r>
        <w:rPr>
          <w:sz w:val="24"/>
        </w:rPr>
        <w:t>CENTER FOR NAVAL ANALYSES ALEXANDRIA VA RESOURCE ANALYSIS DIV.</w:t>
      </w:r>
      <w:proofErr w:type="gramEnd"/>
    </w:p>
    <w:p w:rsidR="0031076A" w:rsidRDefault="0031076A">
      <w:pPr>
        <w:pStyle w:val="BodyText"/>
        <w:spacing w:before="8"/>
        <w:rPr>
          <w:sz w:val="23"/>
        </w:rPr>
      </w:pPr>
    </w:p>
    <w:p w:rsidR="0031076A" w:rsidRDefault="00935374">
      <w:pPr>
        <w:spacing w:before="1"/>
        <w:ind w:left="109" w:right="98"/>
        <w:rPr>
          <w:sz w:val="24"/>
        </w:rPr>
      </w:pPr>
      <w:r>
        <w:rPr>
          <w:sz w:val="24"/>
        </w:rPr>
        <w:t xml:space="preserve">Western, Bruce. 2006. </w:t>
      </w:r>
      <w:r>
        <w:rPr>
          <w:i/>
          <w:sz w:val="24"/>
        </w:rPr>
        <w:t>Punishment and Inequality in America</w:t>
      </w:r>
      <w:r>
        <w:rPr>
          <w:sz w:val="24"/>
        </w:rPr>
        <w:t>. New York: Russell Sage Foundation.</w:t>
      </w:r>
    </w:p>
    <w:p w:rsidR="0031076A" w:rsidRDefault="0031076A">
      <w:pPr>
        <w:rPr>
          <w:sz w:val="24"/>
        </w:rPr>
        <w:sectPr w:rsidR="0031076A">
          <w:pgSz w:w="12240" w:h="15840"/>
          <w:pgMar w:top="1500" w:right="1440" w:bottom="280" w:left="1240" w:header="720" w:footer="720" w:gutter="0"/>
          <w:cols w:space="720"/>
        </w:sectPr>
      </w:pPr>
    </w:p>
    <w:p w:rsidR="0031076A" w:rsidRDefault="0031076A">
      <w:pPr>
        <w:pStyle w:val="BodyText"/>
        <w:spacing w:before="8"/>
        <w:rPr>
          <w:sz w:val="11"/>
        </w:rPr>
      </w:pPr>
    </w:p>
    <w:p w:rsidR="0031076A" w:rsidRDefault="00935374">
      <w:pPr>
        <w:spacing w:before="77"/>
        <w:ind w:left="109" w:right="239"/>
        <w:rPr>
          <w:sz w:val="24"/>
        </w:rPr>
      </w:pPr>
      <w:proofErr w:type="gramStart"/>
      <w:r>
        <w:rPr>
          <w:sz w:val="24"/>
        </w:rPr>
        <w:t>Western, Bruce and Becky Pettit.</w:t>
      </w:r>
      <w:proofErr w:type="gramEnd"/>
      <w:r>
        <w:rPr>
          <w:sz w:val="24"/>
        </w:rPr>
        <w:t xml:space="preserve"> 2005. “Black-White Wage Inequality, Employment Rates, and Incarceration.” </w:t>
      </w:r>
      <w:r>
        <w:rPr>
          <w:i/>
          <w:sz w:val="24"/>
        </w:rPr>
        <w:t xml:space="preserve">American Journal of Sociology </w:t>
      </w:r>
      <w:r>
        <w:rPr>
          <w:sz w:val="24"/>
        </w:rPr>
        <w:t>111:553–578.</w:t>
      </w:r>
    </w:p>
    <w:p w:rsidR="0031076A" w:rsidRDefault="0031076A">
      <w:pPr>
        <w:pStyle w:val="BodyText"/>
      </w:pPr>
    </w:p>
    <w:p w:rsidR="0031076A" w:rsidRDefault="00935374">
      <w:pPr>
        <w:pStyle w:val="BodyText"/>
        <w:ind w:left="109" w:right="-851"/>
      </w:pPr>
      <w:proofErr w:type="gramStart"/>
      <w:r>
        <w:rPr>
          <w:w w:val="99"/>
        </w:rPr>
        <w:t>Wikip</w:t>
      </w:r>
      <w:r>
        <w:t>ed</w:t>
      </w:r>
      <w:r>
        <w:rPr>
          <w:spacing w:val="-2"/>
        </w:rPr>
        <w:t>i</w:t>
      </w:r>
      <w:r>
        <w:rPr>
          <w:w w:val="99"/>
        </w:rPr>
        <w:t>a</w:t>
      </w:r>
      <w:r>
        <w:t>.</w:t>
      </w:r>
      <w:proofErr w:type="gramEnd"/>
      <w:r>
        <w:t xml:space="preserve"> 2016.</w:t>
      </w:r>
      <w:r>
        <w:rPr>
          <w:spacing w:val="-2"/>
        </w:rPr>
        <w:t xml:space="preserve"> </w:t>
      </w:r>
      <w:r>
        <w:rPr>
          <w:w w:val="99"/>
        </w:rPr>
        <w:t>“U</w:t>
      </w:r>
      <w:r>
        <w:t>nited</w:t>
      </w:r>
      <w:r>
        <w:rPr>
          <w:spacing w:val="-2"/>
        </w:rPr>
        <w:t xml:space="preserve"> </w:t>
      </w:r>
      <w:r>
        <w:t>States</w:t>
      </w:r>
      <w:r>
        <w:rPr>
          <w:spacing w:val="-1"/>
        </w:rPr>
        <w:t xml:space="preserve"> </w:t>
      </w:r>
      <w:r>
        <w:rPr>
          <w:w w:val="99"/>
        </w:rPr>
        <w:t>Ar</w:t>
      </w:r>
      <w:r>
        <w:rPr>
          <w:spacing w:val="-1"/>
          <w:w w:val="99"/>
        </w:rPr>
        <w:t>m</w:t>
      </w:r>
      <w:r>
        <w:t xml:space="preserve">ed </w:t>
      </w:r>
      <w:r>
        <w:rPr>
          <w:w w:val="99"/>
        </w:rPr>
        <w:t>Fo</w:t>
      </w:r>
      <w:r>
        <w:rPr>
          <w:spacing w:val="-1"/>
          <w:w w:val="99"/>
        </w:rPr>
        <w:t>r</w:t>
      </w:r>
      <w:r>
        <w:t>c</w:t>
      </w:r>
      <w:r>
        <w:rPr>
          <w:spacing w:val="1"/>
        </w:rPr>
        <w:t>e</w:t>
      </w:r>
      <w:r>
        <w:rPr>
          <w:spacing w:val="-2"/>
        </w:rPr>
        <w:t>s</w:t>
      </w:r>
      <w:r>
        <w:t xml:space="preserve">.” </w:t>
      </w:r>
      <w:proofErr w:type="gramStart"/>
      <w:r>
        <w:t>R</w:t>
      </w:r>
      <w:r>
        <w:rPr>
          <w:spacing w:val="-2"/>
        </w:rPr>
        <w:t>e</w:t>
      </w:r>
      <w:r>
        <w:t>t</w:t>
      </w:r>
      <w:r>
        <w:rPr>
          <w:spacing w:val="-2"/>
        </w:rPr>
        <w:t>r</w:t>
      </w:r>
      <w:r>
        <w:t xml:space="preserve">ieved </w:t>
      </w:r>
      <w:r>
        <w:rPr>
          <w:w w:val="99"/>
        </w:rPr>
        <w:t>Janua</w:t>
      </w:r>
      <w:r>
        <w:t>ry 29, 2</w:t>
      </w:r>
      <w:r>
        <w:rPr>
          <w:spacing w:val="-2"/>
        </w:rPr>
        <w:t>0</w:t>
      </w:r>
      <w:r>
        <w:t>16.</w:t>
      </w:r>
      <w:proofErr w:type="gramEnd"/>
      <w:r>
        <w:t xml:space="preserve"> </w:t>
      </w:r>
      <w:r>
        <w:rPr>
          <w:spacing w:val="-1"/>
        </w:rPr>
        <w:t>(</w:t>
      </w:r>
      <w:hyperlink r:id="rId28">
        <w:r>
          <w:rPr>
            <w:color w:val="1154CC"/>
            <w:spacing w:val="-1"/>
            <w:u w:val="single" w:color="1154CC"/>
          </w:rPr>
          <w:t>http</w:t>
        </w:r>
        <w:r>
          <w:rPr>
            <w:color w:val="1154CC"/>
            <w:spacing w:val="-2"/>
            <w:u w:val="single" w:color="1154CC"/>
          </w:rPr>
          <w:t>s</w:t>
        </w:r>
        <w:r>
          <w:rPr>
            <w:color w:val="1154CC"/>
            <w:u w:val="single" w:color="1154CC"/>
          </w:rPr>
          <w:t>://e</w:t>
        </w:r>
        <w:r>
          <w:rPr>
            <w:color w:val="1154CC"/>
            <w:spacing w:val="-1"/>
            <w:u w:val="single" w:color="1154CC"/>
          </w:rPr>
          <w:t>n.</w:t>
        </w:r>
        <w:r>
          <w:rPr>
            <w:color w:val="1154CC"/>
            <w:u w:val="single" w:color="1154CC"/>
          </w:rPr>
          <w:t>wikipedia.or</w:t>
        </w:r>
        <w:r>
          <w:rPr>
            <w:color w:val="1154CC"/>
            <w:spacing w:val="-3"/>
            <w:u w:val="single" w:color="1154CC"/>
          </w:rPr>
          <w:t>g</w:t>
        </w:r>
        <w:r>
          <w:rPr>
            <w:color w:val="1154CC"/>
            <w:u w:val="single" w:color="1154CC"/>
          </w:rPr>
          <w:t>/w/i</w:t>
        </w:r>
        <w:r>
          <w:rPr>
            <w:color w:val="1154CC"/>
            <w:spacing w:val="-1"/>
            <w:u w:val="single" w:color="1154CC"/>
          </w:rPr>
          <w:t>nde</w:t>
        </w:r>
        <w:r>
          <w:rPr>
            <w:color w:val="1154CC"/>
            <w:spacing w:val="1"/>
            <w:u w:val="single" w:color="1154CC"/>
          </w:rPr>
          <w:t>x</w:t>
        </w:r>
        <w:r>
          <w:rPr>
            <w:color w:val="1154CC"/>
            <w:u w:val="single" w:color="1154CC"/>
          </w:rPr>
          <w:t>.php</w:t>
        </w:r>
        <w:r>
          <w:rPr>
            <w:color w:val="1154CC"/>
            <w:spacing w:val="-2"/>
            <w:u w:val="single" w:color="1154CC"/>
          </w:rPr>
          <w:t>?</w:t>
        </w:r>
        <w:r>
          <w:rPr>
            <w:color w:val="1154CC"/>
            <w:u w:val="single" w:color="1154CC"/>
          </w:rPr>
          <w:t>ti</w:t>
        </w:r>
        <w:r>
          <w:rPr>
            <w:color w:val="1154CC"/>
            <w:spacing w:val="-1"/>
            <w:u w:val="single" w:color="1154CC"/>
          </w:rPr>
          <w:t>t</w:t>
        </w:r>
        <w:r>
          <w:rPr>
            <w:color w:val="1154CC"/>
            <w:u w:val="single" w:color="1154CC"/>
          </w:rPr>
          <w:t>le=</w:t>
        </w:r>
        <w:r>
          <w:rPr>
            <w:color w:val="1154CC"/>
            <w:spacing w:val="-1"/>
            <w:u w:val="single" w:color="1154CC"/>
          </w:rPr>
          <w:t>Un</w:t>
        </w:r>
        <w:r>
          <w:rPr>
            <w:color w:val="1154CC"/>
            <w:u w:val="single" w:color="1154CC"/>
          </w:rPr>
          <w:t>it</w:t>
        </w:r>
        <w:r>
          <w:rPr>
            <w:color w:val="1154CC"/>
            <w:spacing w:val="-3"/>
            <w:u w:val="single" w:color="1154CC"/>
          </w:rPr>
          <w:t>e</w:t>
        </w:r>
        <w:r>
          <w:rPr>
            <w:color w:val="1154CC"/>
            <w:u w:val="single" w:color="1154CC"/>
          </w:rPr>
          <w:t>d_State</w:t>
        </w:r>
        <w:r>
          <w:rPr>
            <w:color w:val="1154CC"/>
            <w:spacing w:val="-1"/>
            <w:u w:val="single" w:color="1154CC"/>
          </w:rPr>
          <w:t>s</w:t>
        </w:r>
        <w:r>
          <w:rPr>
            <w:color w:val="1154CC"/>
            <w:u w:val="single" w:color="1154CC"/>
          </w:rPr>
          <w:t>_Armed_Fo</w:t>
        </w:r>
        <w:r>
          <w:rPr>
            <w:color w:val="1154CC"/>
            <w:spacing w:val="-2"/>
            <w:u w:val="single" w:color="1154CC"/>
          </w:rPr>
          <w:t>r</w:t>
        </w:r>
        <w:r>
          <w:rPr>
            <w:color w:val="1154CC"/>
            <w:u w:val="single" w:color="1154CC"/>
          </w:rPr>
          <w:t>c</w:t>
        </w:r>
        <w:r>
          <w:rPr>
            <w:color w:val="1154CC"/>
            <w:spacing w:val="1"/>
            <w:u w:val="single" w:color="1154CC"/>
          </w:rPr>
          <w:t>e</w:t>
        </w:r>
        <w:r>
          <w:rPr>
            <w:color w:val="1154CC"/>
            <w:spacing w:val="-2"/>
            <w:u w:val="single" w:color="1154CC"/>
          </w:rPr>
          <w:t>s</w:t>
        </w:r>
        <w:r>
          <w:rPr>
            <w:color w:val="1154CC"/>
            <w:u w:val="single" w:color="1154CC"/>
          </w:rPr>
          <w:t>&amp;oldid=702171</w:t>
        </w:r>
        <w:r>
          <w:rPr>
            <w:color w:val="1154CC"/>
            <w:spacing w:val="-2"/>
            <w:u w:val="single" w:color="1154CC"/>
          </w:rPr>
          <w:t>0</w:t>
        </w:r>
        <w:r>
          <w:rPr>
            <w:color w:val="1154CC"/>
            <w:u w:val="single" w:color="1154CC"/>
          </w:rPr>
          <w:t>2</w:t>
        </w:r>
        <w:r>
          <w:rPr>
            <w:color w:val="1154CC"/>
            <w:spacing w:val="5"/>
            <w:u w:val="single" w:color="1154CC"/>
          </w:rPr>
          <w:t>3</w:t>
        </w:r>
      </w:hyperlink>
      <w:r>
        <w:rPr>
          <w:spacing w:val="-1"/>
        </w:rPr>
        <w:t>).</w:t>
      </w:r>
    </w:p>
    <w:p w:rsidR="0031076A" w:rsidRDefault="0031076A">
      <w:pPr>
        <w:sectPr w:rsidR="0031076A">
          <w:pgSz w:w="12240" w:h="15840"/>
          <w:pgMar w:top="1500" w:right="1720" w:bottom="280" w:left="1240" w:header="720" w:footer="720" w:gutter="0"/>
          <w:cols w:space="720"/>
        </w:sectPr>
      </w:pPr>
    </w:p>
    <w:p w:rsidR="0031076A" w:rsidRDefault="0031076A">
      <w:pPr>
        <w:pStyle w:val="BodyText"/>
        <w:rPr>
          <w:sz w:val="20"/>
        </w:rPr>
      </w:pPr>
    </w:p>
    <w:p w:rsidR="0031076A" w:rsidRDefault="0031076A">
      <w:pPr>
        <w:pStyle w:val="BodyText"/>
        <w:spacing w:before="9"/>
        <w:rPr>
          <w:sz w:val="17"/>
        </w:rPr>
      </w:pPr>
    </w:p>
    <w:p w:rsidR="0031076A" w:rsidRDefault="00935374">
      <w:pPr>
        <w:pStyle w:val="Heading2"/>
        <w:spacing w:before="52"/>
        <w:ind w:left="100"/>
      </w:pPr>
      <w:r>
        <w:t>Tables and Figures</w:t>
      </w:r>
    </w:p>
    <w:p w:rsidR="0031076A" w:rsidRDefault="0031076A">
      <w:pPr>
        <w:pStyle w:val="BodyText"/>
        <w:rPr>
          <w:rFonts w:ascii="Calibri"/>
          <w:b/>
          <w:sz w:val="22"/>
        </w:rPr>
      </w:pPr>
    </w:p>
    <w:p w:rsidR="0031076A" w:rsidRDefault="00935374">
      <w:pPr>
        <w:ind w:left="820"/>
        <w:rPr>
          <w:rFonts w:ascii="Calibri"/>
          <w:b/>
          <w:sz w:val="24"/>
        </w:rPr>
      </w:pPr>
      <w:r>
        <w:rPr>
          <w:rFonts w:ascii="Calibri"/>
          <w:b/>
          <w:sz w:val="24"/>
        </w:rPr>
        <w:t>Figure 1: Descriptive Summary</w:t>
      </w:r>
    </w:p>
    <w:p w:rsidR="0031076A" w:rsidRDefault="00935374">
      <w:pPr>
        <w:pStyle w:val="BodyText"/>
        <w:ind w:left="820"/>
        <w:rPr>
          <w:rFonts w:ascii="Calibri"/>
          <w:sz w:val="20"/>
        </w:rPr>
      </w:pPr>
      <w:r>
        <w:rPr>
          <w:rFonts w:ascii="Calibri"/>
          <w:noProof/>
          <w:sz w:val="20"/>
        </w:rPr>
        <w:drawing>
          <wp:inline distT="0" distB="0" distL="0" distR="0">
            <wp:extent cx="4903675" cy="598789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9" cstate="print"/>
                    <a:stretch>
                      <a:fillRect/>
                    </a:stretch>
                  </pic:blipFill>
                  <pic:spPr>
                    <a:xfrm>
                      <a:off x="0" y="0"/>
                      <a:ext cx="4903675" cy="5987891"/>
                    </a:xfrm>
                    <a:prstGeom prst="rect">
                      <a:avLst/>
                    </a:prstGeom>
                  </pic:spPr>
                </pic:pic>
              </a:graphicData>
            </a:graphic>
          </wp:inline>
        </w:drawing>
      </w:r>
    </w:p>
    <w:p w:rsidR="0031076A" w:rsidRDefault="0031076A">
      <w:pPr>
        <w:rPr>
          <w:rFonts w:ascii="Calibri"/>
          <w:sz w:val="20"/>
        </w:rPr>
        <w:sectPr w:rsidR="0031076A">
          <w:pgSz w:w="12240" w:h="15840"/>
          <w:pgMar w:top="1500" w:right="1720" w:bottom="280" w:left="1340" w:header="720" w:footer="720" w:gutter="0"/>
          <w:cols w:space="720"/>
        </w:sectPr>
      </w:pPr>
    </w:p>
    <w:p w:rsidR="0031076A" w:rsidRDefault="0031076A">
      <w:pPr>
        <w:pStyle w:val="BodyText"/>
        <w:rPr>
          <w:rFonts w:ascii="Calibri"/>
          <w:b/>
          <w:sz w:val="20"/>
        </w:rPr>
      </w:pPr>
    </w:p>
    <w:p w:rsidR="0031076A" w:rsidRDefault="0031076A">
      <w:pPr>
        <w:pStyle w:val="BodyText"/>
        <w:spacing w:before="10"/>
        <w:rPr>
          <w:rFonts w:ascii="Calibri"/>
          <w:b/>
          <w:sz w:val="14"/>
        </w:rPr>
      </w:pPr>
    </w:p>
    <w:p w:rsidR="0031076A" w:rsidRDefault="00935374">
      <w:pPr>
        <w:spacing w:before="52"/>
        <w:ind w:left="880"/>
        <w:rPr>
          <w:rFonts w:ascii="Calibri"/>
          <w:b/>
          <w:sz w:val="24"/>
        </w:rPr>
      </w:pPr>
      <w:proofErr w:type="gramStart"/>
      <w:r>
        <w:rPr>
          <w:rFonts w:ascii="Calibri"/>
          <w:b/>
          <w:sz w:val="24"/>
        </w:rPr>
        <w:t>Table 1.</w:t>
      </w:r>
      <w:proofErr w:type="gramEnd"/>
      <w:r>
        <w:rPr>
          <w:rFonts w:ascii="Calibri"/>
          <w:b/>
          <w:sz w:val="24"/>
        </w:rPr>
        <w:t xml:space="preserve"> Service Status by Felony Waiver and Separation by Causes</w:t>
      </w:r>
    </w:p>
    <w:p w:rsidR="0031076A" w:rsidRDefault="0031076A">
      <w:pPr>
        <w:pStyle w:val="BodyText"/>
        <w:rPr>
          <w:rFonts w:ascii="Calibri"/>
          <w:b/>
          <w:sz w:val="22"/>
        </w:rPr>
      </w:pPr>
    </w:p>
    <w:tbl>
      <w:tblPr>
        <w:tblW w:w="0" w:type="auto"/>
        <w:tblInd w:w="112"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2112"/>
        <w:gridCol w:w="1609"/>
        <w:gridCol w:w="1721"/>
        <w:gridCol w:w="1980"/>
        <w:gridCol w:w="3332"/>
      </w:tblGrid>
      <w:tr w:rsidR="0031076A">
        <w:trPr>
          <w:trHeight w:hRule="exact" w:val="290"/>
        </w:trPr>
        <w:tc>
          <w:tcPr>
            <w:tcW w:w="2112" w:type="dxa"/>
            <w:tcBorders>
              <w:bottom w:val="single" w:sz="12" w:space="0" w:color="000000"/>
            </w:tcBorders>
          </w:tcPr>
          <w:p w:rsidR="0031076A" w:rsidRDefault="0031076A"/>
        </w:tc>
        <w:tc>
          <w:tcPr>
            <w:tcW w:w="3330" w:type="dxa"/>
            <w:gridSpan w:val="2"/>
            <w:tcBorders>
              <w:bottom w:val="single" w:sz="12" w:space="0" w:color="000000"/>
            </w:tcBorders>
          </w:tcPr>
          <w:p w:rsidR="0031076A" w:rsidRDefault="00935374">
            <w:pPr>
              <w:pStyle w:val="TableParagraph"/>
              <w:spacing w:before="23" w:line="240" w:lineRule="auto"/>
              <w:ind w:left="1215"/>
              <w:rPr>
                <w:b/>
                <w:sz w:val="20"/>
              </w:rPr>
            </w:pPr>
            <w:r>
              <w:rPr>
                <w:b/>
                <w:sz w:val="20"/>
              </w:rPr>
              <w:t>Non-Felony Waiver</w:t>
            </w:r>
          </w:p>
        </w:tc>
        <w:tc>
          <w:tcPr>
            <w:tcW w:w="5312" w:type="dxa"/>
            <w:gridSpan w:val="2"/>
            <w:tcBorders>
              <w:bottom w:val="single" w:sz="12" w:space="0" w:color="000000"/>
            </w:tcBorders>
          </w:tcPr>
          <w:p w:rsidR="0031076A" w:rsidRDefault="00935374">
            <w:pPr>
              <w:pStyle w:val="TableParagraph"/>
              <w:spacing w:before="23" w:line="240" w:lineRule="auto"/>
              <w:ind w:left="2412"/>
              <w:rPr>
                <w:b/>
                <w:sz w:val="20"/>
              </w:rPr>
            </w:pPr>
            <w:r>
              <w:rPr>
                <w:b/>
                <w:sz w:val="20"/>
              </w:rPr>
              <w:t>Felony Waiver</w:t>
            </w:r>
          </w:p>
        </w:tc>
      </w:tr>
      <w:tr w:rsidR="0031076A">
        <w:trPr>
          <w:trHeight w:hRule="exact" w:val="511"/>
        </w:trPr>
        <w:tc>
          <w:tcPr>
            <w:tcW w:w="2112" w:type="dxa"/>
            <w:tcBorders>
              <w:top w:val="single" w:sz="12" w:space="0" w:color="000000"/>
            </w:tcBorders>
          </w:tcPr>
          <w:p w:rsidR="0031076A" w:rsidRDefault="00935374">
            <w:pPr>
              <w:pStyle w:val="TableParagraph"/>
              <w:spacing w:line="240" w:lineRule="auto"/>
              <w:ind w:left="753" w:right="127"/>
              <w:rPr>
                <w:sz w:val="20"/>
              </w:rPr>
            </w:pPr>
            <w:r>
              <w:rPr>
                <w:sz w:val="20"/>
              </w:rPr>
              <w:t xml:space="preserve">Never </w:t>
            </w:r>
            <w:r>
              <w:rPr>
                <w:w w:val="95"/>
                <w:sz w:val="20"/>
              </w:rPr>
              <w:t>Separated</w:t>
            </w:r>
          </w:p>
        </w:tc>
        <w:tc>
          <w:tcPr>
            <w:tcW w:w="1609" w:type="dxa"/>
            <w:tcBorders>
              <w:top w:val="single" w:sz="12" w:space="0" w:color="000000"/>
            </w:tcBorders>
          </w:tcPr>
          <w:p w:rsidR="0031076A" w:rsidRDefault="0031076A">
            <w:pPr>
              <w:pStyle w:val="TableParagraph"/>
              <w:spacing w:before="12" w:line="240" w:lineRule="auto"/>
              <w:rPr>
                <w:b/>
                <w:sz w:val="19"/>
              </w:rPr>
            </w:pPr>
          </w:p>
          <w:p w:rsidR="0031076A" w:rsidRDefault="00935374">
            <w:pPr>
              <w:pStyle w:val="TableParagraph"/>
              <w:spacing w:line="240" w:lineRule="auto"/>
              <w:ind w:right="31"/>
              <w:jc w:val="right"/>
              <w:rPr>
                <w:sz w:val="20"/>
              </w:rPr>
            </w:pPr>
            <w:r>
              <w:rPr>
                <w:w w:val="95"/>
                <w:sz w:val="20"/>
              </w:rPr>
              <w:t>666,460</w:t>
            </w:r>
          </w:p>
        </w:tc>
        <w:tc>
          <w:tcPr>
            <w:tcW w:w="1721" w:type="dxa"/>
            <w:tcBorders>
              <w:top w:val="single" w:sz="12" w:space="0" w:color="000000"/>
            </w:tcBorders>
          </w:tcPr>
          <w:p w:rsidR="0031076A" w:rsidRDefault="0031076A">
            <w:pPr>
              <w:pStyle w:val="TableParagraph"/>
              <w:spacing w:before="12" w:line="240" w:lineRule="auto"/>
              <w:rPr>
                <w:b/>
                <w:sz w:val="19"/>
              </w:rPr>
            </w:pPr>
          </w:p>
          <w:p w:rsidR="0031076A" w:rsidRDefault="00935374">
            <w:pPr>
              <w:pStyle w:val="TableParagraph"/>
              <w:spacing w:line="240" w:lineRule="auto"/>
              <w:ind w:right="33"/>
              <w:jc w:val="right"/>
              <w:rPr>
                <w:sz w:val="20"/>
              </w:rPr>
            </w:pPr>
            <w:r>
              <w:rPr>
                <w:w w:val="95"/>
                <w:sz w:val="20"/>
              </w:rPr>
              <w:t>52.71%</w:t>
            </w:r>
          </w:p>
        </w:tc>
        <w:tc>
          <w:tcPr>
            <w:tcW w:w="1980" w:type="dxa"/>
            <w:tcBorders>
              <w:top w:val="single" w:sz="12" w:space="0" w:color="000000"/>
            </w:tcBorders>
          </w:tcPr>
          <w:p w:rsidR="0031076A" w:rsidRDefault="0031076A">
            <w:pPr>
              <w:pStyle w:val="TableParagraph"/>
              <w:spacing w:before="12" w:line="240" w:lineRule="auto"/>
              <w:rPr>
                <w:b/>
                <w:sz w:val="19"/>
              </w:rPr>
            </w:pPr>
          </w:p>
          <w:p w:rsidR="0031076A" w:rsidRDefault="00935374">
            <w:pPr>
              <w:pStyle w:val="TableParagraph"/>
              <w:spacing w:line="240" w:lineRule="auto"/>
              <w:ind w:right="31"/>
              <w:jc w:val="right"/>
              <w:rPr>
                <w:sz w:val="20"/>
              </w:rPr>
            </w:pPr>
            <w:r>
              <w:rPr>
                <w:w w:val="95"/>
                <w:sz w:val="20"/>
              </w:rPr>
              <w:t>2,330</w:t>
            </w:r>
          </w:p>
        </w:tc>
        <w:tc>
          <w:tcPr>
            <w:tcW w:w="3332" w:type="dxa"/>
            <w:tcBorders>
              <w:top w:val="single" w:sz="12" w:space="0" w:color="000000"/>
            </w:tcBorders>
          </w:tcPr>
          <w:p w:rsidR="0031076A" w:rsidRDefault="0031076A">
            <w:pPr>
              <w:pStyle w:val="TableParagraph"/>
              <w:spacing w:before="12" w:line="240" w:lineRule="auto"/>
              <w:rPr>
                <w:b/>
                <w:sz w:val="19"/>
              </w:rPr>
            </w:pPr>
          </w:p>
          <w:p w:rsidR="0031076A" w:rsidRDefault="00935374">
            <w:pPr>
              <w:pStyle w:val="TableParagraph"/>
              <w:spacing w:line="240" w:lineRule="auto"/>
              <w:ind w:right="33"/>
              <w:jc w:val="right"/>
              <w:rPr>
                <w:sz w:val="20"/>
              </w:rPr>
            </w:pPr>
            <w:r>
              <w:rPr>
                <w:w w:val="95"/>
                <w:sz w:val="20"/>
              </w:rPr>
              <w:t>48.20%</w:t>
            </w:r>
          </w:p>
        </w:tc>
      </w:tr>
      <w:tr w:rsidR="0031076A">
        <w:trPr>
          <w:trHeight w:hRule="exact" w:val="746"/>
        </w:trPr>
        <w:tc>
          <w:tcPr>
            <w:tcW w:w="2112" w:type="dxa"/>
          </w:tcPr>
          <w:p w:rsidR="0031076A" w:rsidRDefault="00935374">
            <w:pPr>
              <w:pStyle w:val="TableParagraph"/>
              <w:spacing w:line="240" w:lineRule="auto"/>
              <w:ind w:left="753" w:right="127"/>
              <w:rPr>
                <w:sz w:val="20"/>
              </w:rPr>
            </w:pPr>
            <w:r>
              <w:rPr>
                <w:sz w:val="20"/>
              </w:rPr>
              <w:t>Completed Term &amp; Left Service</w:t>
            </w:r>
          </w:p>
        </w:tc>
        <w:tc>
          <w:tcPr>
            <w:tcW w:w="1609" w:type="dxa"/>
          </w:tcPr>
          <w:p w:rsidR="0031076A" w:rsidRDefault="0031076A">
            <w:pPr>
              <w:pStyle w:val="TableParagraph"/>
              <w:spacing w:line="240" w:lineRule="auto"/>
              <w:rPr>
                <w:b/>
                <w:sz w:val="20"/>
              </w:rPr>
            </w:pPr>
          </w:p>
          <w:p w:rsidR="0031076A" w:rsidRDefault="0031076A">
            <w:pPr>
              <w:pStyle w:val="TableParagraph"/>
              <w:spacing w:line="240" w:lineRule="auto"/>
              <w:rPr>
                <w:b/>
                <w:sz w:val="20"/>
              </w:rPr>
            </w:pPr>
          </w:p>
          <w:p w:rsidR="0031076A" w:rsidRDefault="00935374">
            <w:pPr>
              <w:pStyle w:val="TableParagraph"/>
              <w:spacing w:line="240" w:lineRule="auto"/>
              <w:ind w:right="31"/>
              <w:jc w:val="right"/>
              <w:rPr>
                <w:sz w:val="20"/>
              </w:rPr>
            </w:pPr>
            <w:r>
              <w:rPr>
                <w:w w:val="95"/>
                <w:sz w:val="20"/>
              </w:rPr>
              <w:t>212,512</w:t>
            </w:r>
          </w:p>
        </w:tc>
        <w:tc>
          <w:tcPr>
            <w:tcW w:w="1721" w:type="dxa"/>
          </w:tcPr>
          <w:p w:rsidR="0031076A" w:rsidRDefault="0031076A">
            <w:pPr>
              <w:pStyle w:val="TableParagraph"/>
              <w:spacing w:line="240" w:lineRule="auto"/>
              <w:rPr>
                <w:b/>
                <w:sz w:val="20"/>
              </w:rPr>
            </w:pPr>
          </w:p>
          <w:p w:rsidR="0031076A" w:rsidRDefault="0031076A">
            <w:pPr>
              <w:pStyle w:val="TableParagraph"/>
              <w:spacing w:line="240" w:lineRule="auto"/>
              <w:rPr>
                <w:b/>
                <w:sz w:val="20"/>
              </w:rPr>
            </w:pPr>
          </w:p>
          <w:p w:rsidR="0031076A" w:rsidRDefault="00935374">
            <w:pPr>
              <w:pStyle w:val="TableParagraph"/>
              <w:spacing w:line="240" w:lineRule="auto"/>
              <w:ind w:right="33"/>
              <w:jc w:val="right"/>
              <w:rPr>
                <w:sz w:val="20"/>
              </w:rPr>
            </w:pPr>
            <w:r>
              <w:rPr>
                <w:w w:val="95"/>
                <w:sz w:val="20"/>
              </w:rPr>
              <w:t>16.81%</w:t>
            </w:r>
          </w:p>
        </w:tc>
        <w:tc>
          <w:tcPr>
            <w:tcW w:w="1980" w:type="dxa"/>
          </w:tcPr>
          <w:p w:rsidR="0031076A" w:rsidRDefault="0031076A">
            <w:pPr>
              <w:pStyle w:val="TableParagraph"/>
              <w:spacing w:line="240" w:lineRule="auto"/>
              <w:rPr>
                <w:b/>
                <w:sz w:val="20"/>
              </w:rPr>
            </w:pPr>
          </w:p>
          <w:p w:rsidR="0031076A" w:rsidRDefault="0031076A">
            <w:pPr>
              <w:pStyle w:val="TableParagraph"/>
              <w:spacing w:line="240" w:lineRule="auto"/>
              <w:rPr>
                <w:b/>
                <w:sz w:val="20"/>
              </w:rPr>
            </w:pPr>
          </w:p>
          <w:p w:rsidR="0031076A" w:rsidRDefault="00935374">
            <w:pPr>
              <w:pStyle w:val="TableParagraph"/>
              <w:spacing w:line="240" w:lineRule="auto"/>
              <w:ind w:right="31"/>
              <w:jc w:val="right"/>
              <w:rPr>
                <w:sz w:val="20"/>
              </w:rPr>
            </w:pPr>
            <w:r>
              <w:rPr>
                <w:sz w:val="20"/>
              </w:rPr>
              <w:t>779</w:t>
            </w:r>
          </w:p>
        </w:tc>
        <w:tc>
          <w:tcPr>
            <w:tcW w:w="3332" w:type="dxa"/>
          </w:tcPr>
          <w:p w:rsidR="0031076A" w:rsidRDefault="0031076A">
            <w:pPr>
              <w:pStyle w:val="TableParagraph"/>
              <w:spacing w:line="240" w:lineRule="auto"/>
              <w:rPr>
                <w:b/>
                <w:sz w:val="20"/>
              </w:rPr>
            </w:pPr>
          </w:p>
          <w:p w:rsidR="0031076A" w:rsidRDefault="0031076A">
            <w:pPr>
              <w:pStyle w:val="TableParagraph"/>
              <w:spacing w:line="240" w:lineRule="auto"/>
              <w:rPr>
                <w:b/>
                <w:sz w:val="20"/>
              </w:rPr>
            </w:pPr>
          </w:p>
          <w:p w:rsidR="0031076A" w:rsidRDefault="00935374">
            <w:pPr>
              <w:pStyle w:val="TableParagraph"/>
              <w:spacing w:line="240" w:lineRule="auto"/>
              <w:ind w:right="33"/>
              <w:jc w:val="right"/>
              <w:rPr>
                <w:sz w:val="20"/>
              </w:rPr>
            </w:pPr>
            <w:r>
              <w:rPr>
                <w:w w:val="95"/>
                <w:sz w:val="20"/>
              </w:rPr>
              <w:t>16.12%</w:t>
            </w:r>
          </w:p>
        </w:tc>
      </w:tr>
      <w:tr w:rsidR="0031076A">
        <w:trPr>
          <w:trHeight w:hRule="exact" w:val="504"/>
        </w:trPr>
        <w:tc>
          <w:tcPr>
            <w:tcW w:w="2112" w:type="dxa"/>
          </w:tcPr>
          <w:p w:rsidR="0031076A" w:rsidRDefault="00935374">
            <w:pPr>
              <w:pStyle w:val="TableParagraph"/>
              <w:spacing w:before="1" w:line="240" w:lineRule="auto"/>
              <w:ind w:left="753" w:right="127"/>
              <w:rPr>
                <w:sz w:val="20"/>
              </w:rPr>
            </w:pPr>
            <w:r>
              <w:rPr>
                <w:sz w:val="20"/>
              </w:rPr>
              <w:t xml:space="preserve">Early </w:t>
            </w:r>
            <w:r>
              <w:rPr>
                <w:w w:val="95"/>
                <w:sz w:val="20"/>
              </w:rPr>
              <w:t>Separation</w:t>
            </w:r>
          </w:p>
        </w:tc>
        <w:tc>
          <w:tcPr>
            <w:tcW w:w="1609" w:type="dxa"/>
          </w:tcPr>
          <w:p w:rsidR="0031076A" w:rsidRDefault="0031076A"/>
        </w:tc>
        <w:tc>
          <w:tcPr>
            <w:tcW w:w="1721" w:type="dxa"/>
          </w:tcPr>
          <w:p w:rsidR="0031076A" w:rsidRDefault="0031076A">
            <w:pPr>
              <w:pStyle w:val="TableParagraph"/>
              <w:spacing w:before="12" w:line="240" w:lineRule="auto"/>
              <w:rPr>
                <w:b/>
                <w:sz w:val="19"/>
              </w:rPr>
            </w:pPr>
          </w:p>
          <w:p w:rsidR="0031076A" w:rsidRDefault="00935374">
            <w:pPr>
              <w:pStyle w:val="TableParagraph"/>
              <w:spacing w:line="240" w:lineRule="auto"/>
              <w:ind w:right="34"/>
              <w:jc w:val="right"/>
              <w:rPr>
                <w:sz w:val="20"/>
              </w:rPr>
            </w:pPr>
            <w:r>
              <w:rPr>
                <w:sz w:val="20"/>
              </w:rPr>
              <w:t>(30.48%)</w:t>
            </w:r>
          </w:p>
        </w:tc>
        <w:tc>
          <w:tcPr>
            <w:tcW w:w="1980" w:type="dxa"/>
          </w:tcPr>
          <w:p w:rsidR="0031076A" w:rsidRDefault="0031076A"/>
        </w:tc>
        <w:tc>
          <w:tcPr>
            <w:tcW w:w="3332" w:type="dxa"/>
          </w:tcPr>
          <w:p w:rsidR="0031076A" w:rsidRDefault="0031076A">
            <w:pPr>
              <w:pStyle w:val="TableParagraph"/>
              <w:spacing w:before="12" w:line="240" w:lineRule="auto"/>
              <w:rPr>
                <w:b/>
                <w:sz w:val="19"/>
              </w:rPr>
            </w:pPr>
          </w:p>
          <w:p w:rsidR="0031076A" w:rsidRDefault="00935374">
            <w:pPr>
              <w:pStyle w:val="TableParagraph"/>
              <w:spacing w:line="240" w:lineRule="auto"/>
              <w:ind w:right="34"/>
              <w:jc w:val="right"/>
              <w:rPr>
                <w:sz w:val="20"/>
              </w:rPr>
            </w:pPr>
            <w:r>
              <w:rPr>
                <w:sz w:val="20"/>
              </w:rPr>
              <w:t>(35.68%)</w:t>
            </w:r>
          </w:p>
        </w:tc>
      </w:tr>
      <w:tr w:rsidR="0031076A">
        <w:trPr>
          <w:trHeight w:hRule="exact" w:val="259"/>
        </w:trPr>
        <w:tc>
          <w:tcPr>
            <w:tcW w:w="2112" w:type="dxa"/>
          </w:tcPr>
          <w:p w:rsidR="0031076A" w:rsidRDefault="00935374">
            <w:pPr>
              <w:pStyle w:val="TableParagraph"/>
              <w:spacing w:line="243" w:lineRule="exact"/>
              <w:ind w:left="348" w:right="127"/>
              <w:rPr>
                <w:i/>
                <w:sz w:val="20"/>
              </w:rPr>
            </w:pPr>
            <w:r>
              <w:rPr>
                <w:i/>
                <w:sz w:val="20"/>
              </w:rPr>
              <w:t>Good/Legitimate</w:t>
            </w:r>
          </w:p>
        </w:tc>
        <w:tc>
          <w:tcPr>
            <w:tcW w:w="1609" w:type="dxa"/>
          </w:tcPr>
          <w:p w:rsidR="0031076A" w:rsidRDefault="00935374">
            <w:pPr>
              <w:pStyle w:val="TableParagraph"/>
              <w:spacing w:line="243" w:lineRule="exact"/>
              <w:ind w:right="31"/>
              <w:jc w:val="right"/>
              <w:rPr>
                <w:sz w:val="20"/>
              </w:rPr>
            </w:pPr>
            <w:r>
              <w:rPr>
                <w:w w:val="95"/>
                <w:sz w:val="20"/>
              </w:rPr>
              <w:t>18,908</w:t>
            </w:r>
          </w:p>
        </w:tc>
        <w:tc>
          <w:tcPr>
            <w:tcW w:w="1721" w:type="dxa"/>
          </w:tcPr>
          <w:p w:rsidR="0031076A" w:rsidRDefault="00935374">
            <w:pPr>
              <w:pStyle w:val="TableParagraph"/>
              <w:spacing w:line="243" w:lineRule="exact"/>
              <w:ind w:right="33"/>
              <w:jc w:val="right"/>
              <w:rPr>
                <w:sz w:val="20"/>
              </w:rPr>
            </w:pPr>
            <w:r>
              <w:rPr>
                <w:w w:val="95"/>
                <w:sz w:val="20"/>
              </w:rPr>
              <w:t>1.50%</w:t>
            </w:r>
          </w:p>
        </w:tc>
        <w:tc>
          <w:tcPr>
            <w:tcW w:w="1980" w:type="dxa"/>
          </w:tcPr>
          <w:p w:rsidR="0031076A" w:rsidRDefault="00935374">
            <w:pPr>
              <w:pStyle w:val="TableParagraph"/>
              <w:spacing w:line="243" w:lineRule="exact"/>
              <w:ind w:right="29"/>
              <w:jc w:val="right"/>
              <w:rPr>
                <w:sz w:val="20"/>
              </w:rPr>
            </w:pPr>
            <w:r>
              <w:rPr>
                <w:sz w:val="20"/>
              </w:rPr>
              <w:t>60</w:t>
            </w:r>
          </w:p>
        </w:tc>
        <w:tc>
          <w:tcPr>
            <w:tcW w:w="3332" w:type="dxa"/>
          </w:tcPr>
          <w:p w:rsidR="0031076A" w:rsidRDefault="00935374">
            <w:pPr>
              <w:pStyle w:val="TableParagraph"/>
              <w:spacing w:line="243" w:lineRule="exact"/>
              <w:ind w:right="33"/>
              <w:jc w:val="right"/>
              <w:rPr>
                <w:sz w:val="20"/>
              </w:rPr>
            </w:pPr>
            <w:r>
              <w:rPr>
                <w:w w:val="95"/>
                <w:sz w:val="20"/>
              </w:rPr>
              <w:t>1.24%</w:t>
            </w:r>
          </w:p>
        </w:tc>
      </w:tr>
      <w:tr w:rsidR="0031076A">
        <w:trPr>
          <w:trHeight w:hRule="exact" w:val="260"/>
        </w:trPr>
        <w:tc>
          <w:tcPr>
            <w:tcW w:w="2112" w:type="dxa"/>
          </w:tcPr>
          <w:p w:rsidR="0031076A" w:rsidRDefault="00935374">
            <w:pPr>
              <w:pStyle w:val="TableParagraph"/>
              <w:spacing w:line="244" w:lineRule="exact"/>
              <w:ind w:left="348" w:right="127"/>
              <w:rPr>
                <w:i/>
                <w:sz w:val="20"/>
              </w:rPr>
            </w:pPr>
            <w:r>
              <w:rPr>
                <w:i/>
                <w:sz w:val="20"/>
              </w:rPr>
              <w:t>Health</w:t>
            </w:r>
          </w:p>
        </w:tc>
        <w:tc>
          <w:tcPr>
            <w:tcW w:w="1609" w:type="dxa"/>
          </w:tcPr>
          <w:p w:rsidR="0031076A" w:rsidRDefault="00935374">
            <w:pPr>
              <w:pStyle w:val="TableParagraph"/>
              <w:spacing w:line="244" w:lineRule="exact"/>
              <w:ind w:right="31"/>
              <w:jc w:val="right"/>
              <w:rPr>
                <w:sz w:val="20"/>
              </w:rPr>
            </w:pPr>
            <w:r>
              <w:rPr>
                <w:w w:val="95"/>
                <w:sz w:val="20"/>
              </w:rPr>
              <w:t>62,542</w:t>
            </w:r>
          </w:p>
        </w:tc>
        <w:tc>
          <w:tcPr>
            <w:tcW w:w="1721" w:type="dxa"/>
          </w:tcPr>
          <w:p w:rsidR="0031076A" w:rsidRDefault="00935374">
            <w:pPr>
              <w:pStyle w:val="TableParagraph"/>
              <w:spacing w:line="244" w:lineRule="exact"/>
              <w:ind w:right="33"/>
              <w:jc w:val="right"/>
              <w:rPr>
                <w:sz w:val="20"/>
              </w:rPr>
            </w:pPr>
            <w:r>
              <w:rPr>
                <w:w w:val="95"/>
                <w:sz w:val="20"/>
              </w:rPr>
              <w:t>4.95%</w:t>
            </w:r>
          </w:p>
        </w:tc>
        <w:tc>
          <w:tcPr>
            <w:tcW w:w="1980" w:type="dxa"/>
          </w:tcPr>
          <w:p w:rsidR="0031076A" w:rsidRDefault="00935374">
            <w:pPr>
              <w:pStyle w:val="TableParagraph"/>
              <w:spacing w:line="244" w:lineRule="exact"/>
              <w:ind w:right="31"/>
              <w:jc w:val="right"/>
              <w:rPr>
                <w:sz w:val="20"/>
              </w:rPr>
            </w:pPr>
            <w:r>
              <w:rPr>
                <w:sz w:val="20"/>
              </w:rPr>
              <w:t>430</w:t>
            </w:r>
          </w:p>
        </w:tc>
        <w:tc>
          <w:tcPr>
            <w:tcW w:w="3332" w:type="dxa"/>
          </w:tcPr>
          <w:p w:rsidR="0031076A" w:rsidRDefault="00935374">
            <w:pPr>
              <w:pStyle w:val="TableParagraph"/>
              <w:spacing w:line="244" w:lineRule="exact"/>
              <w:ind w:right="33"/>
              <w:jc w:val="right"/>
              <w:rPr>
                <w:sz w:val="20"/>
              </w:rPr>
            </w:pPr>
            <w:r>
              <w:rPr>
                <w:w w:val="95"/>
                <w:sz w:val="20"/>
              </w:rPr>
              <w:t>8.90%</w:t>
            </w:r>
          </w:p>
        </w:tc>
      </w:tr>
      <w:tr w:rsidR="0031076A">
        <w:trPr>
          <w:trHeight w:hRule="exact" w:val="259"/>
        </w:trPr>
        <w:tc>
          <w:tcPr>
            <w:tcW w:w="2112" w:type="dxa"/>
          </w:tcPr>
          <w:p w:rsidR="0031076A" w:rsidRDefault="00935374">
            <w:pPr>
              <w:pStyle w:val="TableParagraph"/>
              <w:spacing w:line="243" w:lineRule="exact"/>
              <w:ind w:left="348" w:right="127"/>
              <w:rPr>
                <w:i/>
                <w:sz w:val="20"/>
              </w:rPr>
            </w:pPr>
            <w:r>
              <w:rPr>
                <w:i/>
                <w:sz w:val="20"/>
              </w:rPr>
              <w:t>Death</w:t>
            </w:r>
          </w:p>
        </w:tc>
        <w:tc>
          <w:tcPr>
            <w:tcW w:w="1609" w:type="dxa"/>
          </w:tcPr>
          <w:p w:rsidR="0031076A" w:rsidRDefault="00935374">
            <w:pPr>
              <w:pStyle w:val="TableParagraph"/>
              <w:spacing w:line="243" w:lineRule="exact"/>
              <w:ind w:right="31"/>
              <w:jc w:val="right"/>
              <w:rPr>
                <w:sz w:val="20"/>
              </w:rPr>
            </w:pPr>
            <w:r>
              <w:rPr>
                <w:w w:val="95"/>
                <w:sz w:val="20"/>
              </w:rPr>
              <w:t>4,878</w:t>
            </w:r>
          </w:p>
        </w:tc>
        <w:tc>
          <w:tcPr>
            <w:tcW w:w="1721" w:type="dxa"/>
          </w:tcPr>
          <w:p w:rsidR="0031076A" w:rsidRDefault="00935374">
            <w:pPr>
              <w:pStyle w:val="TableParagraph"/>
              <w:spacing w:line="243" w:lineRule="exact"/>
              <w:ind w:right="33"/>
              <w:jc w:val="right"/>
              <w:rPr>
                <w:sz w:val="20"/>
              </w:rPr>
            </w:pPr>
            <w:r>
              <w:rPr>
                <w:w w:val="95"/>
                <w:sz w:val="20"/>
              </w:rPr>
              <w:t>0.39%</w:t>
            </w:r>
          </w:p>
        </w:tc>
        <w:tc>
          <w:tcPr>
            <w:tcW w:w="1980" w:type="dxa"/>
          </w:tcPr>
          <w:p w:rsidR="0031076A" w:rsidRDefault="00935374">
            <w:pPr>
              <w:pStyle w:val="TableParagraph"/>
              <w:spacing w:line="243" w:lineRule="exact"/>
              <w:ind w:right="29"/>
              <w:jc w:val="right"/>
              <w:rPr>
                <w:sz w:val="20"/>
              </w:rPr>
            </w:pPr>
            <w:r>
              <w:rPr>
                <w:sz w:val="20"/>
              </w:rPr>
              <w:t>47</w:t>
            </w:r>
          </w:p>
        </w:tc>
        <w:tc>
          <w:tcPr>
            <w:tcW w:w="3332" w:type="dxa"/>
          </w:tcPr>
          <w:p w:rsidR="0031076A" w:rsidRDefault="00935374">
            <w:pPr>
              <w:pStyle w:val="TableParagraph"/>
              <w:spacing w:line="243" w:lineRule="exact"/>
              <w:ind w:right="33"/>
              <w:jc w:val="right"/>
              <w:rPr>
                <w:sz w:val="20"/>
              </w:rPr>
            </w:pPr>
            <w:r>
              <w:rPr>
                <w:w w:val="95"/>
                <w:sz w:val="20"/>
              </w:rPr>
              <w:t>0.97%</w:t>
            </w:r>
          </w:p>
        </w:tc>
      </w:tr>
      <w:tr w:rsidR="0031076A">
        <w:trPr>
          <w:trHeight w:hRule="exact" w:val="259"/>
        </w:trPr>
        <w:tc>
          <w:tcPr>
            <w:tcW w:w="2112" w:type="dxa"/>
          </w:tcPr>
          <w:p w:rsidR="0031076A" w:rsidRDefault="00935374">
            <w:pPr>
              <w:pStyle w:val="TableParagraph"/>
              <w:spacing w:line="243" w:lineRule="exact"/>
              <w:ind w:left="348" w:right="127"/>
              <w:rPr>
                <w:i/>
                <w:sz w:val="20"/>
              </w:rPr>
            </w:pPr>
            <w:r>
              <w:rPr>
                <w:i/>
                <w:sz w:val="20"/>
              </w:rPr>
              <w:t>Poor/Misconduct</w:t>
            </w:r>
          </w:p>
        </w:tc>
        <w:tc>
          <w:tcPr>
            <w:tcW w:w="1609" w:type="dxa"/>
          </w:tcPr>
          <w:p w:rsidR="0031076A" w:rsidRDefault="00935374">
            <w:pPr>
              <w:pStyle w:val="TableParagraph"/>
              <w:spacing w:line="243" w:lineRule="exact"/>
              <w:ind w:right="31"/>
              <w:jc w:val="right"/>
              <w:rPr>
                <w:sz w:val="20"/>
              </w:rPr>
            </w:pPr>
            <w:r>
              <w:rPr>
                <w:w w:val="95"/>
                <w:sz w:val="20"/>
              </w:rPr>
              <w:t>243,569</w:t>
            </w:r>
          </w:p>
        </w:tc>
        <w:tc>
          <w:tcPr>
            <w:tcW w:w="1721" w:type="dxa"/>
          </w:tcPr>
          <w:p w:rsidR="0031076A" w:rsidRDefault="00935374">
            <w:pPr>
              <w:pStyle w:val="TableParagraph"/>
              <w:spacing w:line="243" w:lineRule="exact"/>
              <w:ind w:right="33"/>
              <w:jc w:val="right"/>
              <w:rPr>
                <w:sz w:val="20"/>
              </w:rPr>
            </w:pPr>
            <w:r>
              <w:rPr>
                <w:w w:val="95"/>
                <w:sz w:val="20"/>
              </w:rPr>
              <w:t>19.26%</w:t>
            </w:r>
          </w:p>
        </w:tc>
        <w:tc>
          <w:tcPr>
            <w:tcW w:w="1980" w:type="dxa"/>
          </w:tcPr>
          <w:p w:rsidR="0031076A" w:rsidRDefault="00935374">
            <w:pPr>
              <w:pStyle w:val="TableParagraph"/>
              <w:spacing w:line="243" w:lineRule="exact"/>
              <w:ind w:right="31"/>
              <w:jc w:val="right"/>
              <w:rPr>
                <w:sz w:val="20"/>
              </w:rPr>
            </w:pPr>
            <w:r>
              <w:rPr>
                <w:w w:val="95"/>
                <w:sz w:val="20"/>
              </w:rPr>
              <w:t>1,041</w:t>
            </w:r>
          </w:p>
        </w:tc>
        <w:tc>
          <w:tcPr>
            <w:tcW w:w="3332" w:type="dxa"/>
          </w:tcPr>
          <w:p w:rsidR="0031076A" w:rsidRDefault="00935374">
            <w:pPr>
              <w:pStyle w:val="TableParagraph"/>
              <w:spacing w:line="243" w:lineRule="exact"/>
              <w:ind w:right="33"/>
              <w:jc w:val="right"/>
              <w:rPr>
                <w:sz w:val="20"/>
              </w:rPr>
            </w:pPr>
            <w:r>
              <w:rPr>
                <w:w w:val="95"/>
                <w:sz w:val="20"/>
              </w:rPr>
              <w:t>21.53%</w:t>
            </w:r>
          </w:p>
        </w:tc>
      </w:tr>
      <w:tr w:rsidR="0031076A">
        <w:trPr>
          <w:trHeight w:hRule="exact" w:val="504"/>
        </w:trPr>
        <w:tc>
          <w:tcPr>
            <w:tcW w:w="2112" w:type="dxa"/>
            <w:tcBorders>
              <w:bottom w:val="single" w:sz="6" w:space="0" w:color="000000"/>
            </w:tcBorders>
          </w:tcPr>
          <w:p w:rsidR="0031076A" w:rsidRDefault="00935374">
            <w:pPr>
              <w:pStyle w:val="TableParagraph"/>
              <w:spacing w:line="240" w:lineRule="auto"/>
              <w:ind w:left="753" w:hanging="406"/>
              <w:rPr>
                <w:i/>
                <w:sz w:val="20"/>
              </w:rPr>
            </w:pPr>
            <w:r>
              <w:rPr>
                <w:i/>
                <w:w w:val="95"/>
                <w:sz w:val="20"/>
              </w:rPr>
              <w:t xml:space="preserve">Missing/Unknown/O </w:t>
            </w:r>
            <w:proofErr w:type="spellStart"/>
            <w:r>
              <w:rPr>
                <w:i/>
                <w:sz w:val="20"/>
              </w:rPr>
              <w:t>ther</w:t>
            </w:r>
            <w:proofErr w:type="spellEnd"/>
          </w:p>
        </w:tc>
        <w:tc>
          <w:tcPr>
            <w:tcW w:w="1609" w:type="dxa"/>
            <w:tcBorders>
              <w:bottom w:val="single" w:sz="6" w:space="0" w:color="000000"/>
            </w:tcBorders>
          </w:tcPr>
          <w:p w:rsidR="0031076A" w:rsidRDefault="0031076A">
            <w:pPr>
              <w:pStyle w:val="TableParagraph"/>
              <w:spacing w:before="12" w:line="240" w:lineRule="auto"/>
              <w:rPr>
                <w:b/>
                <w:sz w:val="19"/>
              </w:rPr>
            </w:pPr>
          </w:p>
          <w:p w:rsidR="0031076A" w:rsidRDefault="00935374">
            <w:pPr>
              <w:pStyle w:val="TableParagraph"/>
              <w:spacing w:line="240" w:lineRule="auto"/>
              <w:ind w:right="31"/>
              <w:jc w:val="right"/>
              <w:rPr>
                <w:sz w:val="20"/>
              </w:rPr>
            </w:pPr>
            <w:r>
              <w:rPr>
                <w:w w:val="95"/>
                <w:sz w:val="20"/>
              </w:rPr>
              <w:t>55,529</w:t>
            </w:r>
          </w:p>
        </w:tc>
        <w:tc>
          <w:tcPr>
            <w:tcW w:w="1721" w:type="dxa"/>
            <w:tcBorders>
              <w:bottom w:val="single" w:sz="6" w:space="0" w:color="000000"/>
            </w:tcBorders>
          </w:tcPr>
          <w:p w:rsidR="0031076A" w:rsidRDefault="0031076A">
            <w:pPr>
              <w:pStyle w:val="TableParagraph"/>
              <w:spacing w:before="12" w:line="240" w:lineRule="auto"/>
              <w:rPr>
                <w:b/>
                <w:sz w:val="19"/>
              </w:rPr>
            </w:pPr>
          </w:p>
          <w:p w:rsidR="0031076A" w:rsidRDefault="00935374">
            <w:pPr>
              <w:pStyle w:val="TableParagraph"/>
              <w:spacing w:line="240" w:lineRule="auto"/>
              <w:ind w:right="33"/>
              <w:jc w:val="right"/>
              <w:rPr>
                <w:sz w:val="20"/>
              </w:rPr>
            </w:pPr>
            <w:r>
              <w:rPr>
                <w:w w:val="95"/>
                <w:sz w:val="20"/>
              </w:rPr>
              <w:t>4.39%</w:t>
            </w:r>
          </w:p>
        </w:tc>
        <w:tc>
          <w:tcPr>
            <w:tcW w:w="1980" w:type="dxa"/>
            <w:tcBorders>
              <w:bottom w:val="single" w:sz="6" w:space="0" w:color="000000"/>
            </w:tcBorders>
          </w:tcPr>
          <w:p w:rsidR="0031076A" w:rsidRDefault="0031076A">
            <w:pPr>
              <w:pStyle w:val="TableParagraph"/>
              <w:spacing w:before="12" w:line="240" w:lineRule="auto"/>
              <w:rPr>
                <w:b/>
                <w:sz w:val="19"/>
              </w:rPr>
            </w:pPr>
          </w:p>
          <w:p w:rsidR="0031076A" w:rsidRDefault="00935374">
            <w:pPr>
              <w:pStyle w:val="TableParagraph"/>
              <w:spacing w:line="240" w:lineRule="auto"/>
              <w:ind w:right="31"/>
              <w:jc w:val="right"/>
              <w:rPr>
                <w:sz w:val="20"/>
              </w:rPr>
            </w:pPr>
            <w:r>
              <w:rPr>
                <w:sz w:val="20"/>
              </w:rPr>
              <w:t>147</w:t>
            </w:r>
          </w:p>
        </w:tc>
        <w:tc>
          <w:tcPr>
            <w:tcW w:w="3332" w:type="dxa"/>
            <w:tcBorders>
              <w:bottom w:val="single" w:sz="6" w:space="0" w:color="000000"/>
            </w:tcBorders>
          </w:tcPr>
          <w:p w:rsidR="0031076A" w:rsidRDefault="0031076A">
            <w:pPr>
              <w:pStyle w:val="TableParagraph"/>
              <w:spacing w:before="12" w:line="240" w:lineRule="auto"/>
              <w:rPr>
                <w:b/>
                <w:sz w:val="19"/>
              </w:rPr>
            </w:pPr>
          </w:p>
          <w:p w:rsidR="0031076A" w:rsidRDefault="00935374">
            <w:pPr>
              <w:pStyle w:val="TableParagraph"/>
              <w:spacing w:line="240" w:lineRule="auto"/>
              <w:ind w:right="33"/>
              <w:jc w:val="right"/>
              <w:rPr>
                <w:sz w:val="20"/>
              </w:rPr>
            </w:pPr>
            <w:r>
              <w:rPr>
                <w:w w:val="95"/>
                <w:sz w:val="20"/>
              </w:rPr>
              <w:t>3.04%</w:t>
            </w:r>
          </w:p>
        </w:tc>
      </w:tr>
      <w:tr w:rsidR="0031076A">
        <w:trPr>
          <w:trHeight w:hRule="exact" w:val="511"/>
        </w:trPr>
        <w:tc>
          <w:tcPr>
            <w:tcW w:w="2112" w:type="dxa"/>
            <w:tcBorders>
              <w:top w:val="single" w:sz="6" w:space="0" w:color="000000"/>
              <w:bottom w:val="single" w:sz="12" w:space="0" w:color="000000"/>
            </w:tcBorders>
          </w:tcPr>
          <w:p w:rsidR="0031076A" w:rsidRDefault="00935374">
            <w:pPr>
              <w:pStyle w:val="TableParagraph"/>
              <w:spacing w:line="240" w:lineRule="auto"/>
              <w:ind w:left="753" w:right="127"/>
              <w:rPr>
                <w:b/>
                <w:sz w:val="20"/>
              </w:rPr>
            </w:pPr>
            <w:r>
              <w:rPr>
                <w:b/>
                <w:sz w:val="20"/>
              </w:rPr>
              <w:t xml:space="preserve">Total (N = </w:t>
            </w:r>
            <w:r>
              <w:rPr>
                <w:b/>
                <w:w w:val="95"/>
                <w:sz w:val="20"/>
              </w:rPr>
              <w:t>1,269,232)</w:t>
            </w:r>
          </w:p>
        </w:tc>
        <w:tc>
          <w:tcPr>
            <w:tcW w:w="1609" w:type="dxa"/>
            <w:tcBorders>
              <w:top w:val="single" w:sz="6" w:space="0" w:color="000000"/>
              <w:bottom w:val="single" w:sz="12" w:space="0" w:color="000000"/>
            </w:tcBorders>
          </w:tcPr>
          <w:p w:rsidR="0031076A" w:rsidRDefault="0031076A">
            <w:pPr>
              <w:pStyle w:val="TableParagraph"/>
              <w:spacing w:before="12" w:line="240" w:lineRule="auto"/>
              <w:rPr>
                <w:b/>
                <w:sz w:val="19"/>
              </w:rPr>
            </w:pPr>
          </w:p>
          <w:p w:rsidR="0031076A" w:rsidRDefault="00935374">
            <w:pPr>
              <w:pStyle w:val="TableParagraph"/>
              <w:spacing w:line="240" w:lineRule="auto"/>
              <w:ind w:right="31"/>
              <w:jc w:val="right"/>
              <w:rPr>
                <w:sz w:val="20"/>
              </w:rPr>
            </w:pPr>
            <w:r>
              <w:rPr>
                <w:w w:val="95"/>
                <w:sz w:val="20"/>
              </w:rPr>
              <w:t>1,264,398</w:t>
            </w:r>
          </w:p>
        </w:tc>
        <w:tc>
          <w:tcPr>
            <w:tcW w:w="1721" w:type="dxa"/>
            <w:tcBorders>
              <w:top w:val="single" w:sz="6" w:space="0" w:color="000000"/>
              <w:bottom w:val="single" w:sz="12" w:space="0" w:color="000000"/>
            </w:tcBorders>
          </w:tcPr>
          <w:p w:rsidR="0031076A" w:rsidRDefault="0031076A">
            <w:pPr>
              <w:pStyle w:val="TableParagraph"/>
              <w:spacing w:before="12" w:line="240" w:lineRule="auto"/>
              <w:rPr>
                <w:b/>
                <w:sz w:val="19"/>
              </w:rPr>
            </w:pPr>
          </w:p>
          <w:p w:rsidR="0031076A" w:rsidRDefault="00935374">
            <w:pPr>
              <w:pStyle w:val="TableParagraph"/>
              <w:spacing w:line="240" w:lineRule="auto"/>
              <w:ind w:right="33"/>
              <w:jc w:val="right"/>
              <w:rPr>
                <w:sz w:val="20"/>
              </w:rPr>
            </w:pPr>
            <w:r>
              <w:rPr>
                <w:w w:val="95"/>
                <w:sz w:val="20"/>
              </w:rPr>
              <w:t>100.00%</w:t>
            </w:r>
          </w:p>
        </w:tc>
        <w:tc>
          <w:tcPr>
            <w:tcW w:w="1980" w:type="dxa"/>
            <w:tcBorders>
              <w:top w:val="single" w:sz="6" w:space="0" w:color="000000"/>
              <w:bottom w:val="single" w:sz="12" w:space="0" w:color="000000"/>
            </w:tcBorders>
          </w:tcPr>
          <w:p w:rsidR="0031076A" w:rsidRDefault="0031076A">
            <w:pPr>
              <w:pStyle w:val="TableParagraph"/>
              <w:spacing w:before="12" w:line="240" w:lineRule="auto"/>
              <w:rPr>
                <w:b/>
                <w:sz w:val="19"/>
              </w:rPr>
            </w:pPr>
          </w:p>
          <w:p w:rsidR="0031076A" w:rsidRDefault="00935374">
            <w:pPr>
              <w:pStyle w:val="TableParagraph"/>
              <w:spacing w:line="240" w:lineRule="auto"/>
              <w:ind w:right="31"/>
              <w:jc w:val="right"/>
              <w:rPr>
                <w:sz w:val="20"/>
              </w:rPr>
            </w:pPr>
            <w:r>
              <w:rPr>
                <w:w w:val="95"/>
                <w:sz w:val="20"/>
              </w:rPr>
              <w:t>4,834</w:t>
            </w:r>
          </w:p>
        </w:tc>
        <w:tc>
          <w:tcPr>
            <w:tcW w:w="3332" w:type="dxa"/>
            <w:tcBorders>
              <w:top w:val="single" w:sz="6" w:space="0" w:color="000000"/>
              <w:bottom w:val="single" w:sz="12" w:space="0" w:color="000000"/>
            </w:tcBorders>
          </w:tcPr>
          <w:p w:rsidR="0031076A" w:rsidRDefault="0031076A">
            <w:pPr>
              <w:pStyle w:val="TableParagraph"/>
              <w:spacing w:before="12" w:line="240" w:lineRule="auto"/>
              <w:rPr>
                <w:b/>
                <w:sz w:val="19"/>
              </w:rPr>
            </w:pPr>
          </w:p>
          <w:p w:rsidR="0031076A" w:rsidRDefault="00935374">
            <w:pPr>
              <w:pStyle w:val="TableParagraph"/>
              <w:spacing w:line="240" w:lineRule="auto"/>
              <w:ind w:right="33"/>
              <w:jc w:val="right"/>
              <w:rPr>
                <w:sz w:val="20"/>
              </w:rPr>
            </w:pPr>
            <w:r>
              <w:rPr>
                <w:w w:val="95"/>
                <w:sz w:val="20"/>
              </w:rPr>
              <w:t>100.00%</w:t>
            </w:r>
          </w:p>
        </w:tc>
      </w:tr>
    </w:tbl>
    <w:p w:rsidR="0031076A" w:rsidRDefault="00935374">
      <w:pPr>
        <w:ind w:left="160" w:right="4138"/>
        <w:rPr>
          <w:rFonts w:ascii="Calibri"/>
          <w:sz w:val="20"/>
        </w:rPr>
      </w:pPr>
      <w:r>
        <w:rPr>
          <w:rFonts w:ascii="Calibri"/>
          <w:i/>
          <w:sz w:val="20"/>
        </w:rPr>
        <w:t xml:space="preserve">Note: </w:t>
      </w:r>
      <w:r>
        <w:rPr>
          <w:rFonts w:ascii="Calibri"/>
          <w:sz w:val="20"/>
        </w:rPr>
        <w:t>Excludes those with reenlistment history except for immediate reenlistment, meaning that we assume no break in service.</w:t>
      </w:r>
    </w:p>
    <w:p w:rsidR="0031076A" w:rsidRDefault="0031076A">
      <w:pPr>
        <w:pStyle w:val="BodyText"/>
        <w:spacing w:before="11"/>
        <w:rPr>
          <w:rFonts w:ascii="Calibri"/>
          <w:sz w:val="21"/>
        </w:rPr>
      </w:pPr>
    </w:p>
    <w:p w:rsidR="0031076A" w:rsidRDefault="00935374">
      <w:pPr>
        <w:pStyle w:val="Heading2"/>
        <w:spacing w:line="460" w:lineRule="auto"/>
        <w:ind w:left="880" w:right="4138"/>
      </w:pPr>
      <w:r>
        <w:rPr>
          <w:noProof/>
        </w:rPr>
        <w:drawing>
          <wp:anchor distT="0" distB="0" distL="0" distR="0" simplePos="0" relativeHeight="251650560" behindDoc="1" locked="0" layoutInCell="1" allowOverlap="1">
            <wp:simplePos x="0" y="0"/>
            <wp:positionH relativeFrom="page">
              <wp:posOffset>1371600</wp:posOffset>
            </wp:positionH>
            <wp:positionV relativeFrom="paragraph">
              <wp:posOffset>542490</wp:posOffset>
            </wp:positionV>
            <wp:extent cx="6356223" cy="159829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0" cstate="print"/>
                    <a:stretch>
                      <a:fillRect/>
                    </a:stretch>
                  </pic:blipFill>
                  <pic:spPr>
                    <a:xfrm>
                      <a:off x="0" y="0"/>
                      <a:ext cx="6356223" cy="1598295"/>
                    </a:xfrm>
                    <a:prstGeom prst="rect">
                      <a:avLst/>
                    </a:prstGeom>
                  </pic:spPr>
                </pic:pic>
              </a:graphicData>
            </a:graphic>
          </wp:anchor>
        </w:drawing>
      </w:r>
      <w:r>
        <w:t>Add Table 2 here after adding means for promoted to E5+ Figure 2:</w:t>
      </w:r>
    </w:p>
    <w:p w:rsidR="0031076A" w:rsidRDefault="0031076A">
      <w:pPr>
        <w:pStyle w:val="BodyText"/>
        <w:rPr>
          <w:rFonts w:ascii="Calibri"/>
          <w:b/>
        </w:rPr>
      </w:pPr>
    </w:p>
    <w:p w:rsidR="0031076A" w:rsidRDefault="0031076A">
      <w:pPr>
        <w:pStyle w:val="BodyText"/>
        <w:rPr>
          <w:rFonts w:ascii="Calibri"/>
          <w:b/>
        </w:rPr>
      </w:pPr>
    </w:p>
    <w:p w:rsidR="0031076A" w:rsidRDefault="0031076A">
      <w:pPr>
        <w:pStyle w:val="BodyText"/>
        <w:rPr>
          <w:rFonts w:ascii="Calibri"/>
          <w:b/>
        </w:rPr>
      </w:pPr>
    </w:p>
    <w:p w:rsidR="0031076A" w:rsidRDefault="0031076A">
      <w:pPr>
        <w:pStyle w:val="BodyText"/>
        <w:rPr>
          <w:rFonts w:ascii="Calibri"/>
          <w:b/>
        </w:rPr>
      </w:pPr>
    </w:p>
    <w:p w:rsidR="0031076A" w:rsidRDefault="0031076A">
      <w:pPr>
        <w:pStyle w:val="BodyText"/>
        <w:rPr>
          <w:rFonts w:ascii="Calibri"/>
          <w:b/>
        </w:rPr>
      </w:pPr>
    </w:p>
    <w:p w:rsidR="0031076A" w:rsidRDefault="0031076A">
      <w:pPr>
        <w:pStyle w:val="BodyText"/>
        <w:rPr>
          <w:rFonts w:ascii="Calibri"/>
          <w:b/>
        </w:rPr>
      </w:pPr>
    </w:p>
    <w:p w:rsidR="0031076A" w:rsidRDefault="0031076A">
      <w:pPr>
        <w:pStyle w:val="BodyText"/>
        <w:rPr>
          <w:rFonts w:ascii="Calibri"/>
          <w:b/>
        </w:rPr>
      </w:pPr>
    </w:p>
    <w:p w:rsidR="0031076A" w:rsidRDefault="0031076A">
      <w:pPr>
        <w:pStyle w:val="BodyText"/>
        <w:rPr>
          <w:rFonts w:ascii="Calibri"/>
          <w:b/>
        </w:rPr>
      </w:pPr>
    </w:p>
    <w:p w:rsidR="0031076A" w:rsidRDefault="00935374">
      <w:pPr>
        <w:spacing w:before="173"/>
        <w:ind w:left="880"/>
        <w:rPr>
          <w:rFonts w:ascii="Calibri"/>
          <w:b/>
          <w:sz w:val="24"/>
        </w:rPr>
      </w:pPr>
      <w:proofErr w:type="gramStart"/>
      <w:r>
        <w:rPr>
          <w:rFonts w:ascii="Calibri"/>
          <w:b/>
          <w:sz w:val="24"/>
        </w:rPr>
        <w:t>Figure 3.</w:t>
      </w:r>
      <w:proofErr w:type="gramEnd"/>
    </w:p>
    <w:p w:rsidR="0031076A" w:rsidRDefault="00935374">
      <w:pPr>
        <w:ind w:left="880"/>
        <w:rPr>
          <w:rFonts w:ascii="Calibri"/>
          <w:b/>
          <w:sz w:val="24"/>
        </w:rPr>
      </w:pPr>
      <w:r>
        <w:rPr>
          <w:rFonts w:ascii="Calibri"/>
          <w:b/>
          <w:sz w:val="24"/>
        </w:rPr>
        <w:t>Figure 4:</w:t>
      </w:r>
    </w:p>
    <w:p w:rsidR="0031076A" w:rsidRDefault="0031076A">
      <w:pPr>
        <w:rPr>
          <w:rFonts w:ascii="Calibri"/>
          <w:sz w:val="24"/>
        </w:rPr>
        <w:sectPr w:rsidR="0031076A">
          <w:pgSz w:w="12240" w:h="15840"/>
          <w:pgMar w:top="1500" w:right="0" w:bottom="280" w:left="1280" w:header="720" w:footer="720" w:gutter="0"/>
          <w:cols w:space="720"/>
        </w:sectPr>
      </w:pPr>
    </w:p>
    <w:p w:rsidR="0031076A" w:rsidRDefault="0031076A">
      <w:pPr>
        <w:pStyle w:val="BodyText"/>
        <w:spacing w:before="1"/>
        <w:rPr>
          <w:rFonts w:ascii="Calibri"/>
          <w:b/>
          <w:sz w:val="17"/>
        </w:rPr>
      </w:pPr>
    </w:p>
    <w:p w:rsidR="0031076A" w:rsidRDefault="00935374">
      <w:pPr>
        <w:pStyle w:val="BodyText"/>
        <w:ind w:left="160"/>
        <w:rPr>
          <w:rFonts w:ascii="Calibri"/>
          <w:sz w:val="20"/>
        </w:rPr>
      </w:pPr>
      <w:r>
        <w:rPr>
          <w:rFonts w:ascii="Calibri"/>
          <w:noProof/>
          <w:sz w:val="20"/>
        </w:rPr>
        <w:drawing>
          <wp:inline distT="0" distB="0" distL="0" distR="0">
            <wp:extent cx="3171951" cy="317182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1" cstate="print"/>
                    <a:stretch>
                      <a:fillRect/>
                    </a:stretch>
                  </pic:blipFill>
                  <pic:spPr>
                    <a:xfrm>
                      <a:off x="0" y="0"/>
                      <a:ext cx="3171951" cy="3171825"/>
                    </a:xfrm>
                    <a:prstGeom prst="rect">
                      <a:avLst/>
                    </a:prstGeom>
                  </pic:spPr>
                </pic:pic>
              </a:graphicData>
            </a:graphic>
          </wp:inline>
        </w:drawing>
      </w:r>
    </w:p>
    <w:p w:rsidR="0031076A" w:rsidRDefault="0031076A">
      <w:pPr>
        <w:pStyle w:val="BodyText"/>
        <w:spacing w:before="9"/>
        <w:rPr>
          <w:rFonts w:ascii="Calibri"/>
          <w:b/>
          <w:sz w:val="20"/>
        </w:rPr>
      </w:pPr>
    </w:p>
    <w:p w:rsidR="0031076A" w:rsidRDefault="00935374">
      <w:pPr>
        <w:spacing w:before="51" w:line="242" w:lineRule="auto"/>
        <w:ind w:left="160" w:right="288"/>
        <w:rPr>
          <w:rFonts w:ascii="Calibri"/>
          <w:b/>
          <w:sz w:val="24"/>
        </w:rPr>
      </w:pPr>
      <w:proofErr w:type="gramStart"/>
      <w:r>
        <w:rPr>
          <w:rFonts w:ascii="Calibri"/>
          <w:b/>
          <w:sz w:val="24"/>
        </w:rPr>
        <w:t>Appendix 2.</w:t>
      </w:r>
      <w:proofErr w:type="gramEnd"/>
      <w:r>
        <w:rPr>
          <w:rFonts w:ascii="Calibri"/>
          <w:b/>
          <w:sz w:val="24"/>
        </w:rPr>
        <w:t xml:space="preserve"> Promotion Models: Rate of Promotion and Likelihood of Being Promoted to Sergeant Rank and Above</w:t>
      </w:r>
    </w:p>
    <w:p w:rsidR="0031076A" w:rsidRDefault="0031076A">
      <w:pPr>
        <w:pStyle w:val="BodyText"/>
        <w:spacing w:before="9" w:after="1"/>
        <w:rPr>
          <w:rFonts w:ascii="Calibri"/>
          <w:b/>
          <w:sz w:val="21"/>
        </w:rPr>
      </w:pPr>
    </w:p>
    <w:tbl>
      <w:tblPr>
        <w:tblW w:w="0" w:type="auto"/>
        <w:tblInd w:w="112"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3377"/>
        <w:gridCol w:w="1200"/>
        <w:gridCol w:w="1200"/>
        <w:gridCol w:w="1200"/>
        <w:gridCol w:w="1201"/>
      </w:tblGrid>
      <w:tr w:rsidR="0031076A">
        <w:trPr>
          <w:trHeight w:hRule="exact" w:val="502"/>
        </w:trPr>
        <w:tc>
          <w:tcPr>
            <w:tcW w:w="3377" w:type="dxa"/>
            <w:tcBorders>
              <w:bottom w:val="single" w:sz="6" w:space="0" w:color="CCCCCC"/>
            </w:tcBorders>
          </w:tcPr>
          <w:p w:rsidR="0031076A" w:rsidRDefault="0031076A"/>
        </w:tc>
        <w:tc>
          <w:tcPr>
            <w:tcW w:w="2400" w:type="dxa"/>
            <w:gridSpan w:val="2"/>
            <w:tcBorders>
              <w:bottom w:val="single" w:sz="6" w:space="0" w:color="CCCCCC"/>
            </w:tcBorders>
          </w:tcPr>
          <w:p w:rsidR="0031076A" w:rsidRDefault="00935374">
            <w:pPr>
              <w:pStyle w:val="TableParagraph"/>
              <w:spacing w:line="240" w:lineRule="auto"/>
              <w:ind w:left="64" w:right="48" w:firstLine="103"/>
              <w:rPr>
                <w:b/>
                <w:sz w:val="20"/>
              </w:rPr>
            </w:pPr>
            <w:r>
              <w:rPr>
                <w:b/>
                <w:sz w:val="20"/>
              </w:rPr>
              <w:t>Logistic Model Analyzing Likelihood of E5 and Above</w:t>
            </w:r>
          </w:p>
        </w:tc>
        <w:tc>
          <w:tcPr>
            <w:tcW w:w="2401" w:type="dxa"/>
            <w:gridSpan w:val="2"/>
            <w:tcBorders>
              <w:bottom w:val="single" w:sz="6" w:space="0" w:color="CCCCCC"/>
            </w:tcBorders>
          </w:tcPr>
          <w:p w:rsidR="0031076A" w:rsidRDefault="00935374">
            <w:pPr>
              <w:pStyle w:val="TableParagraph"/>
              <w:spacing w:line="240" w:lineRule="auto"/>
              <w:ind w:left="638" w:hanging="533"/>
              <w:rPr>
                <w:b/>
                <w:sz w:val="20"/>
              </w:rPr>
            </w:pPr>
            <w:r>
              <w:rPr>
                <w:b/>
                <w:sz w:val="20"/>
              </w:rPr>
              <w:t>OLS Model Analyzing Rate of Promotion</w:t>
            </w:r>
          </w:p>
        </w:tc>
      </w:tr>
      <w:tr w:rsidR="0031076A">
        <w:trPr>
          <w:trHeight w:hRule="exact" w:val="267"/>
        </w:trPr>
        <w:tc>
          <w:tcPr>
            <w:tcW w:w="3377" w:type="dxa"/>
            <w:tcBorders>
              <w:top w:val="single" w:sz="6" w:space="0" w:color="CCCCCC"/>
              <w:bottom w:val="single" w:sz="12" w:space="0" w:color="000000"/>
            </w:tcBorders>
          </w:tcPr>
          <w:p w:rsidR="0031076A" w:rsidRDefault="00935374">
            <w:pPr>
              <w:pStyle w:val="TableParagraph"/>
              <w:spacing w:line="243" w:lineRule="exact"/>
              <w:ind w:left="33"/>
              <w:rPr>
                <w:b/>
                <w:sz w:val="20"/>
              </w:rPr>
            </w:pPr>
            <w:r>
              <w:rPr>
                <w:b/>
                <w:sz w:val="20"/>
              </w:rPr>
              <w:t>N = 1,269,232</w:t>
            </w:r>
          </w:p>
        </w:tc>
        <w:tc>
          <w:tcPr>
            <w:tcW w:w="1200" w:type="dxa"/>
            <w:tcBorders>
              <w:top w:val="single" w:sz="6" w:space="0" w:color="CCCCCC"/>
              <w:bottom w:val="single" w:sz="12" w:space="0" w:color="000000"/>
            </w:tcBorders>
          </w:tcPr>
          <w:p w:rsidR="0031076A" w:rsidRDefault="00935374">
            <w:pPr>
              <w:pStyle w:val="TableParagraph"/>
              <w:spacing w:line="243" w:lineRule="exact"/>
              <w:ind w:left="182"/>
              <w:rPr>
                <w:b/>
                <w:i/>
                <w:sz w:val="20"/>
              </w:rPr>
            </w:pPr>
            <w:r>
              <w:rPr>
                <w:b/>
                <w:i/>
                <w:sz w:val="20"/>
              </w:rPr>
              <w:t xml:space="preserve">Exp. </w:t>
            </w:r>
            <w:proofErr w:type="spellStart"/>
            <w:r>
              <w:rPr>
                <w:b/>
                <w:i/>
                <w:sz w:val="20"/>
              </w:rPr>
              <w:t>Coef</w:t>
            </w:r>
            <w:proofErr w:type="spellEnd"/>
            <w:r>
              <w:rPr>
                <w:b/>
                <w:i/>
                <w:sz w:val="20"/>
              </w:rPr>
              <w:t>.</w:t>
            </w:r>
          </w:p>
        </w:tc>
        <w:tc>
          <w:tcPr>
            <w:tcW w:w="1200" w:type="dxa"/>
            <w:tcBorders>
              <w:top w:val="single" w:sz="6" w:space="0" w:color="CCCCCC"/>
              <w:bottom w:val="single" w:sz="12" w:space="0" w:color="000000"/>
            </w:tcBorders>
          </w:tcPr>
          <w:p w:rsidR="0031076A" w:rsidRDefault="00935374">
            <w:pPr>
              <w:pStyle w:val="TableParagraph"/>
              <w:spacing w:line="243" w:lineRule="exact"/>
              <w:ind w:left="136" w:right="140"/>
              <w:jc w:val="center"/>
              <w:rPr>
                <w:b/>
                <w:i/>
                <w:sz w:val="20"/>
              </w:rPr>
            </w:pPr>
            <w:r>
              <w:rPr>
                <w:b/>
                <w:i/>
                <w:sz w:val="20"/>
              </w:rPr>
              <w:t>z Statistics</w:t>
            </w:r>
          </w:p>
        </w:tc>
        <w:tc>
          <w:tcPr>
            <w:tcW w:w="1200" w:type="dxa"/>
            <w:tcBorders>
              <w:top w:val="single" w:sz="6" w:space="0" w:color="CCCCCC"/>
              <w:bottom w:val="single" w:sz="12" w:space="0" w:color="000000"/>
            </w:tcBorders>
          </w:tcPr>
          <w:p w:rsidR="0031076A" w:rsidRDefault="00935374">
            <w:pPr>
              <w:pStyle w:val="TableParagraph"/>
              <w:spacing w:line="243" w:lineRule="exact"/>
              <w:ind w:left="89" w:right="95"/>
              <w:jc w:val="center"/>
              <w:rPr>
                <w:b/>
                <w:i/>
                <w:sz w:val="20"/>
              </w:rPr>
            </w:pPr>
            <w:r>
              <w:rPr>
                <w:b/>
                <w:i/>
                <w:sz w:val="20"/>
              </w:rPr>
              <w:t>Coefficient</w:t>
            </w:r>
          </w:p>
        </w:tc>
        <w:tc>
          <w:tcPr>
            <w:tcW w:w="1201" w:type="dxa"/>
            <w:tcBorders>
              <w:top w:val="single" w:sz="6" w:space="0" w:color="CCCCCC"/>
              <w:bottom w:val="single" w:sz="12" w:space="0" w:color="000000"/>
            </w:tcBorders>
          </w:tcPr>
          <w:p w:rsidR="0031076A" w:rsidRDefault="00935374">
            <w:pPr>
              <w:pStyle w:val="TableParagraph"/>
              <w:spacing w:line="243" w:lineRule="exact"/>
              <w:ind w:left="16" w:right="16"/>
              <w:jc w:val="center"/>
              <w:rPr>
                <w:b/>
                <w:i/>
                <w:sz w:val="20"/>
              </w:rPr>
            </w:pPr>
            <w:r>
              <w:rPr>
                <w:b/>
                <w:i/>
                <w:sz w:val="20"/>
              </w:rPr>
              <w:t>SE</w:t>
            </w:r>
          </w:p>
        </w:tc>
      </w:tr>
      <w:tr w:rsidR="0031076A">
        <w:trPr>
          <w:trHeight w:hRule="exact" w:val="293"/>
        </w:trPr>
        <w:tc>
          <w:tcPr>
            <w:tcW w:w="3377" w:type="dxa"/>
            <w:tcBorders>
              <w:top w:val="single" w:sz="12" w:space="0" w:color="000000"/>
            </w:tcBorders>
          </w:tcPr>
          <w:p w:rsidR="0031076A" w:rsidRDefault="00935374">
            <w:pPr>
              <w:pStyle w:val="TableParagraph"/>
              <w:spacing w:before="25" w:line="240" w:lineRule="auto"/>
              <w:ind w:left="33"/>
              <w:rPr>
                <w:b/>
                <w:i/>
                <w:sz w:val="20"/>
              </w:rPr>
            </w:pPr>
            <w:r>
              <w:rPr>
                <w:b/>
                <w:i/>
                <w:sz w:val="20"/>
              </w:rPr>
              <w:t>Waiver</w:t>
            </w:r>
          </w:p>
        </w:tc>
        <w:tc>
          <w:tcPr>
            <w:tcW w:w="1200" w:type="dxa"/>
            <w:tcBorders>
              <w:top w:val="single" w:sz="12" w:space="0" w:color="000000"/>
            </w:tcBorders>
          </w:tcPr>
          <w:p w:rsidR="0031076A" w:rsidRDefault="0031076A"/>
        </w:tc>
        <w:tc>
          <w:tcPr>
            <w:tcW w:w="1200" w:type="dxa"/>
            <w:tcBorders>
              <w:top w:val="single" w:sz="12" w:space="0" w:color="000000"/>
            </w:tcBorders>
          </w:tcPr>
          <w:p w:rsidR="0031076A" w:rsidRDefault="0031076A"/>
        </w:tc>
        <w:tc>
          <w:tcPr>
            <w:tcW w:w="1200" w:type="dxa"/>
            <w:tcBorders>
              <w:top w:val="single" w:sz="12" w:space="0" w:color="000000"/>
            </w:tcBorders>
          </w:tcPr>
          <w:p w:rsidR="0031076A" w:rsidRDefault="0031076A"/>
        </w:tc>
        <w:tc>
          <w:tcPr>
            <w:tcW w:w="1201" w:type="dxa"/>
            <w:tcBorders>
              <w:top w:val="single" w:sz="12" w:space="0" w:color="000000"/>
            </w:tcBorders>
          </w:tcPr>
          <w:p w:rsidR="0031076A" w:rsidRDefault="0031076A"/>
        </w:tc>
      </w:tr>
      <w:tr w:rsidR="0031076A">
        <w:trPr>
          <w:trHeight w:hRule="exact" w:val="259"/>
        </w:trPr>
        <w:tc>
          <w:tcPr>
            <w:tcW w:w="3377" w:type="dxa"/>
          </w:tcPr>
          <w:p w:rsidR="0031076A" w:rsidRDefault="00935374">
            <w:pPr>
              <w:pStyle w:val="TableParagraph"/>
              <w:spacing w:line="243" w:lineRule="exact"/>
              <w:ind w:left="268"/>
              <w:rPr>
                <w:b/>
                <w:sz w:val="20"/>
              </w:rPr>
            </w:pPr>
            <w:r>
              <w:rPr>
                <w:b/>
                <w:sz w:val="20"/>
              </w:rPr>
              <w:t>Felony</w:t>
            </w:r>
          </w:p>
        </w:tc>
        <w:tc>
          <w:tcPr>
            <w:tcW w:w="1200" w:type="dxa"/>
          </w:tcPr>
          <w:p w:rsidR="0031076A" w:rsidRDefault="00935374">
            <w:pPr>
              <w:pStyle w:val="TableParagraph"/>
              <w:spacing w:line="243" w:lineRule="exact"/>
              <w:ind w:left="211"/>
              <w:rPr>
                <w:sz w:val="20"/>
              </w:rPr>
            </w:pPr>
            <w:r>
              <w:rPr>
                <w:sz w:val="20"/>
              </w:rPr>
              <w:t>1.3315***</w:t>
            </w:r>
          </w:p>
        </w:tc>
        <w:tc>
          <w:tcPr>
            <w:tcW w:w="1200" w:type="dxa"/>
          </w:tcPr>
          <w:p w:rsidR="0031076A" w:rsidRDefault="00935374">
            <w:pPr>
              <w:pStyle w:val="TableParagraph"/>
              <w:spacing w:line="243" w:lineRule="exact"/>
              <w:ind w:left="135" w:right="140"/>
              <w:jc w:val="center"/>
              <w:rPr>
                <w:sz w:val="20"/>
              </w:rPr>
            </w:pPr>
            <w:r>
              <w:rPr>
                <w:sz w:val="20"/>
              </w:rPr>
              <w:t>(5.98)</w:t>
            </w:r>
          </w:p>
        </w:tc>
        <w:tc>
          <w:tcPr>
            <w:tcW w:w="1200" w:type="dxa"/>
          </w:tcPr>
          <w:p w:rsidR="0031076A" w:rsidRDefault="00935374">
            <w:pPr>
              <w:pStyle w:val="TableParagraph"/>
              <w:spacing w:line="243" w:lineRule="exact"/>
              <w:ind w:left="93" w:right="95"/>
              <w:jc w:val="center"/>
              <w:rPr>
                <w:sz w:val="20"/>
              </w:rPr>
            </w:pPr>
            <w:r>
              <w:rPr>
                <w:sz w:val="20"/>
              </w:rPr>
              <w:t>0.0868***</w:t>
            </w:r>
          </w:p>
        </w:tc>
        <w:tc>
          <w:tcPr>
            <w:tcW w:w="1201" w:type="dxa"/>
          </w:tcPr>
          <w:p w:rsidR="0031076A" w:rsidRDefault="00935374">
            <w:pPr>
              <w:pStyle w:val="TableParagraph"/>
              <w:spacing w:line="243" w:lineRule="exact"/>
              <w:ind w:left="13" w:right="16"/>
              <w:jc w:val="center"/>
              <w:rPr>
                <w:sz w:val="20"/>
              </w:rPr>
            </w:pPr>
            <w:r>
              <w:rPr>
                <w:sz w:val="20"/>
              </w:rPr>
              <w:t>(0.0106)</w:t>
            </w:r>
          </w:p>
        </w:tc>
      </w:tr>
      <w:tr w:rsidR="0031076A">
        <w:trPr>
          <w:trHeight w:hRule="exact" w:val="259"/>
        </w:trPr>
        <w:tc>
          <w:tcPr>
            <w:tcW w:w="3377" w:type="dxa"/>
          </w:tcPr>
          <w:p w:rsidR="0031076A" w:rsidRDefault="00935374">
            <w:pPr>
              <w:pStyle w:val="TableParagraph"/>
              <w:spacing w:line="243" w:lineRule="exact"/>
              <w:ind w:left="268"/>
              <w:rPr>
                <w:b/>
                <w:sz w:val="20"/>
              </w:rPr>
            </w:pPr>
            <w:r>
              <w:rPr>
                <w:b/>
                <w:sz w:val="20"/>
              </w:rPr>
              <w:t>Misdemeanor</w:t>
            </w:r>
          </w:p>
        </w:tc>
        <w:tc>
          <w:tcPr>
            <w:tcW w:w="1200" w:type="dxa"/>
          </w:tcPr>
          <w:p w:rsidR="0031076A" w:rsidRDefault="00935374">
            <w:pPr>
              <w:pStyle w:val="TableParagraph"/>
              <w:spacing w:line="243" w:lineRule="exact"/>
              <w:ind w:left="211"/>
              <w:rPr>
                <w:sz w:val="20"/>
              </w:rPr>
            </w:pPr>
            <w:r>
              <w:rPr>
                <w:sz w:val="20"/>
              </w:rPr>
              <w:t>0.8957</w:t>
            </w:r>
          </w:p>
        </w:tc>
        <w:tc>
          <w:tcPr>
            <w:tcW w:w="1200" w:type="dxa"/>
          </w:tcPr>
          <w:p w:rsidR="0031076A" w:rsidRDefault="00935374">
            <w:pPr>
              <w:pStyle w:val="TableParagraph"/>
              <w:spacing w:line="243" w:lineRule="exact"/>
              <w:ind w:left="135" w:right="140"/>
              <w:jc w:val="center"/>
              <w:rPr>
                <w:sz w:val="20"/>
              </w:rPr>
            </w:pPr>
            <w:r>
              <w:rPr>
                <w:sz w:val="20"/>
              </w:rPr>
              <w:t>(-0.78)</w:t>
            </w:r>
          </w:p>
        </w:tc>
        <w:tc>
          <w:tcPr>
            <w:tcW w:w="1200" w:type="dxa"/>
          </w:tcPr>
          <w:p w:rsidR="0031076A" w:rsidRDefault="00935374">
            <w:pPr>
              <w:pStyle w:val="TableParagraph"/>
              <w:spacing w:line="243" w:lineRule="exact"/>
              <w:ind w:left="91" w:right="95"/>
              <w:jc w:val="center"/>
              <w:rPr>
                <w:sz w:val="20"/>
              </w:rPr>
            </w:pPr>
            <w:r>
              <w:rPr>
                <w:sz w:val="20"/>
              </w:rPr>
              <w:t>-0.1154***</w:t>
            </w:r>
          </w:p>
        </w:tc>
        <w:tc>
          <w:tcPr>
            <w:tcW w:w="1201" w:type="dxa"/>
          </w:tcPr>
          <w:p w:rsidR="0031076A" w:rsidRDefault="00935374">
            <w:pPr>
              <w:pStyle w:val="TableParagraph"/>
              <w:spacing w:line="243" w:lineRule="exact"/>
              <w:ind w:left="13" w:right="16"/>
              <w:jc w:val="center"/>
              <w:rPr>
                <w:sz w:val="20"/>
              </w:rPr>
            </w:pPr>
            <w:r>
              <w:rPr>
                <w:sz w:val="20"/>
              </w:rPr>
              <w:t>(0.0172)</w:t>
            </w:r>
          </w:p>
        </w:tc>
      </w:tr>
      <w:tr w:rsidR="0031076A">
        <w:trPr>
          <w:trHeight w:hRule="exact" w:val="259"/>
        </w:trPr>
        <w:tc>
          <w:tcPr>
            <w:tcW w:w="3377" w:type="dxa"/>
          </w:tcPr>
          <w:p w:rsidR="0031076A" w:rsidRDefault="00935374">
            <w:pPr>
              <w:pStyle w:val="TableParagraph"/>
              <w:spacing w:line="243" w:lineRule="exact"/>
              <w:ind w:left="268"/>
              <w:rPr>
                <w:b/>
                <w:sz w:val="20"/>
              </w:rPr>
            </w:pPr>
            <w:r>
              <w:rPr>
                <w:b/>
                <w:sz w:val="20"/>
              </w:rPr>
              <w:t>Dependent</w:t>
            </w:r>
          </w:p>
        </w:tc>
        <w:tc>
          <w:tcPr>
            <w:tcW w:w="1200" w:type="dxa"/>
          </w:tcPr>
          <w:p w:rsidR="0031076A" w:rsidRDefault="00935374">
            <w:pPr>
              <w:pStyle w:val="TableParagraph"/>
              <w:spacing w:line="243" w:lineRule="exact"/>
              <w:ind w:left="211"/>
              <w:rPr>
                <w:sz w:val="20"/>
              </w:rPr>
            </w:pPr>
            <w:r>
              <w:rPr>
                <w:sz w:val="20"/>
              </w:rPr>
              <w:t>1.0782</w:t>
            </w:r>
          </w:p>
        </w:tc>
        <w:tc>
          <w:tcPr>
            <w:tcW w:w="1200" w:type="dxa"/>
          </w:tcPr>
          <w:p w:rsidR="0031076A" w:rsidRDefault="00935374">
            <w:pPr>
              <w:pStyle w:val="TableParagraph"/>
              <w:spacing w:line="243" w:lineRule="exact"/>
              <w:ind w:left="135" w:right="140"/>
              <w:jc w:val="center"/>
              <w:rPr>
                <w:sz w:val="20"/>
              </w:rPr>
            </w:pPr>
            <w:r>
              <w:rPr>
                <w:sz w:val="20"/>
              </w:rPr>
              <w:t>(1.85)</w:t>
            </w:r>
          </w:p>
        </w:tc>
        <w:tc>
          <w:tcPr>
            <w:tcW w:w="1200" w:type="dxa"/>
          </w:tcPr>
          <w:p w:rsidR="0031076A" w:rsidRDefault="00935374">
            <w:pPr>
              <w:pStyle w:val="TableParagraph"/>
              <w:spacing w:line="243" w:lineRule="exact"/>
              <w:ind w:left="91" w:right="95"/>
              <w:jc w:val="center"/>
              <w:rPr>
                <w:sz w:val="20"/>
              </w:rPr>
            </w:pPr>
            <w:r>
              <w:rPr>
                <w:sz w:val="20"/>
              </w:rPr>
              <w:t>-0.0303***</w:t>
            </w:r>
          </w:p>
        </w:tc>
        <w:tc>
          <w:tcPr>
            <w:tcW w:w="1201" w:type="dxa"/>
          </w:tcPr>
          <w:p w:rsidR="0031076A" w:rsidRDefault="00935374">
            <w:pPr>
              <w:pStyle w:val="TableParagraph"/>
              <w:spacing w:line="243" w:lineRule="exact"/>
              <w:ind w:left="13" w:right="16"/>
              <w:jc w:val="center"/>
              <w:rPr>
                <w:sz w:val="20"/>
              </w:rPr>
            </w:pPr>
            <w:r>
              <w:rPr>
                <w:sz w:val="20"/>
              </w:rPr>
              <w:t>(0.0077)</w:t>
            </w:r>
          </w:p>
        </w:tc>
      </w:tr>
      <w:tr w:rsidR="0031076A">
        <w:trPr>
          <w:trHeight w:hRule="exact" w:val="257"/>
        </w:trPr>
        <w:tc>
          <w:tcPr>
            <w:tcW w:w="3377" w:type="dxa"/>
          </w:tcPr>
          <w:p w:rsidR="0031076A" w:rsidRDefault="00935374">
            <w:pPr>
              <w:pStyle w:val="TableParagraph"/>
              <w:spacing w:line="243" w:lineRule="exact"/>
              <w:ind w:left="268"/>
              <w:rPr>
                <w:b/>
                <w:sz w:val="20"/>
              </w:rPr>
            </w:pPr>
            <w:r>
              <w:rPr>
                <w:b/>
                <w:sz w:val="20"/>
              </w:rPr>
              <w:t>Medical</w:t>
            </w:r>
          </w:p>
        </w:tc>
        <w:tc>
          <w:tcPr>
            <w:tcW w:w="1200" w:type="dxa"/>
          </w:tcPr>
          <w:p w:rsidR="0031076A" w:rsidRDefault="00935374">
            <w:pPr>
              <w:pStyle w:val="TableParagraph"/>
              <w:spacing w:line="243" w:lineRule="exact"/>
              <w:ind w:left="211"/>
              <w:rPr>
                <w:sz w:val="20"/>
              </w:rPr>
            </w:pPr>
            <w:r>
              <w:rPr>
                <w:sz w:val="20"/>
              </w:rPr>
              <w:t>0.8629***</w:t>
            </w:r>
          </w:p>
        </w:tc>
        <w:tc>
          <w:tcPr>
            <w:tcW w:w="1200" w:type="dxa"/>
          </w:tcPr>
          <w:p w:rsidR="0031076A" w:rsidRDefault="00935374">
            <w:pPr>
              <w:pStyle w:val="TableParagraph"/>
              <w:spacing w:line="243" w:lineRule="exact"/>
              <w:ind w:left="135" w:right="140"/>
              <w:jc w:val="center"/>
              <w:rPr>
                <w:sz w:val="20"/>
              </w:rPr>
            </w:pPr>
            <w:r>
              <w:rPr>
                <w:sz w:val="20"/>
              </w:rPr>
              <w:t>(-9.2)</w:t>
            </w:r>
          </w:p>
        </w:tc>
        <w:tc>
          <w:tcPr>
            <w:tcW w:w="1200" w:type="dxa"/>
          </w:tcPr>
          <w:p w:rsidR="0031076A" w:rsidRDefault="00935374">
            <w:pPr>
              <w:pStyle w:val="TableParagraph"/>
              <w:spacing w:line="243" w:lineRule="exact"/>
              <w:ind w:left="91" w:right="95"/>
              <w:jc w:val="center"/>
              <w:rPr>
                <w:sz w:val="20"/>
              </w:rPr>
            </w:pPr>
            <w:r>
              <w:rPr>
                <w:sz w:val="20"/>
              </w:rPr>
              <w:t>-0.0291***</w:t>
            </w:r>
          </w:p>
        </w:tc>
        <w:tc>
          <w:tcPr>
            <w:tcW w:w="1201" w:type="dxa"/>
          </w:tcPr>
          <w:p w:rsidR="0031076A" w:rsidRDefault="00935374">
            <w:pPr>
              <w:pStyle w:val="TableParagraph"/>
              <w:spacing w:line="243" w:lineRule="exact"/>
              <w:ind w:left="13" w:right="16"/>
              <w:jc w:val="center"/>
              <w:rPr>
                <w:sz w:val="20"/>
              </w:rPr>
            </w:pPr>
            <w:r>
              <w:rPr>
                <w:sz w:val="20"/>
              </w:rPr>
              <w:t>(0.0032)</w:t>
            </w:r>
          </w:p>
        </w:tc>
      </w:tr>
      <w:tr w:rsidR="0031076A">
        <w:trPr>
          <w:trHeight w:hRule="exact" w:val="286"/>
        </w:trPr>
        <w:tc>
          <w:tcPr>
            <w:tcW w:w="3377" w:type="dxa"/>
          </w:tcPr>
          <w:p w:rsidR="0031076A" w:rsidRDefault="00935374">
            <w:pPr>
              <w:pStyle w:val="TableParagraph"/>
              <w:spacing w:before="25" w:line="240" w:lineRule="auto"/>
              <w:ind w:left="33"/>
              <w:rPr>
                <w:b/>
                <w:i/>
                <w:sz w:val="20"/>
              </w:rPr>
            </w:pPr>
            <w:r>
              <w:rPr>
                <w:b/>
                <w:i/>
                <w:sz w:val="20"/>
              </w:rPr>
              <w:t>Period</w:t>
            </w:r>
          </w:p>
        </w:tc>
        <w:tc>
          <w:tcPr>
            <w:tcW w:w="1200" w:type="dxa"/>
          </w:tcPr>
          <w:p w:rsidR="0031076A" w:rsidRDefault="0031076A"/>
        </w:tc>
        <w:tc>
          <w:tcPr>
            <w:tcW w:w="1200" w:type="dxa"/>
          </w:tcPr>
          <w:p w:rsidR="0031076A" w:rsidRDefault="0031076A"/>
        </w:tc>
        <w:tc>
          <w:tcPr>
            <w:tcW w:w="1200" w:type="dxa"/>
          </w:tcPr>
          <w:p w:rsidR="0031076A" w:rsidRDefault="0031076A"/>
        </w:tc>
        <w:tc>
          <w:tcPr>
            <w:tcW w:w="1201" w:type="dxa"/>
          </w:tcPr>
          <w:p w:rsidR="0031076A" w:rsidRDefault="0031076A"/>
        </w:tc>
      </w:tr>
      <w:tr w:rsidR="0031076A">
        <w:trPr>
          <w:trHeight w:hRule="exact" w:val="259"/>
        </w:trPr>
        <w:tc>
          <w:tcPr>
            <w:tcW w:w="3377" w:type="dxa"/>
          </w:tcPr>
          <w:p w:rsidR="0031076A" w:rsidRDefault="00935374">
            <w:pPr>
              <w:pStyle w:val="TableParagraph"/>
              <w:spacing w:line="243" w:lineRule="exact"/>
              <w:ind w:left="268"/>
              <w:rPr>
                <w:b/>
                <w:sz w:val="20"/>
              </w:rPr>
            </w:pPr>
            <w:r>
              <w:rPr>
                <w:b/>
                <w:sz w:val="20"/>
              </w:rPr>
              <w:t>Recession</w:t>
            </w:r>
          </w:p>
        </w:tc>
        <w:tc>
          <w:tcPr>
            <w:tcW w:w="1200" w:type="dxa"/>
          </w:tcPr>
          <w:p w:rsidR="0031076A" w:rsidRDefault="00935374">
            <w:pPr>
              <w:pStyle w:val="TableParagraph"/>
              <w:spacing w:line="243" w:lineRule="exact"/>
              <w:ind w:left="211"/>
              <w:rPr>
                <w:sz w:val="20"/>
              </w:rPr>
            </w:pPr>
            <w:r>
              <w:rPr>
                <w:sz w:val="20"/>
              </w:rPr>
              <w:t>0.0660***</w:t>
            </w:r>
          </w:p>
        </w:tc>
        <w:tc>
          <w:tcPr>
            <w:tcW w:w="1200" w:type="dxa"/>
          </w:tcPr>
          <w:p w:rsidR="0031076A" w:rsidRDefault="00935374">
            <w:pPr>
              <w:pStyle w:val="TableParagraph"/>
              <w:spacing w:line="243" w:lineRule="exact"/>
              <w:ind w:left="134" w:right="140"/>
              <w:jc w:val="center"/>
              <w:rPr>
                <w:sz w:val="20"/>
              </w:rPr>
            </w:pPr>
            <w:r>
              <w:rPr>
                <w:sz w:val="20"/>
              </w:rPr>
              <w:t>(-32.03)</w:t>
            </w:r>
          </w:p>
        </w:tc>
        <w:tc>
          <w:tcPr>
            <w:tcW w:w="1200" w:type="dxa"/>
          </w:tcPr>
          <w:p w:rsidR="0031076A" w:rsidRDefault="00935374">
            <w:pPr>
              <w:pStyle w:val="TableParagraph"/>
              <w:spacing w:line="243" w:lineRule="exact"/>
              <w:ind w:left="91" w:right="95"/>
              <w:jc w:val="center"/>
              <w:rPr>
                <w:sz w:val="20"/>
              </w:rPr>
            </w:pPr>
            <w:r>
              <w:rPr>
                <w:sz w:val="20"/>
              </w:rPr>
              <w:t>-0.4383***</w:t>
            </w:r>
          </w:p>
        </w:tc>
        <w:tc>
          <w:tcPr>
            <w:tcW w:w="1201" w:type="dxa"/>
          </w:tcPr>
          <w:p w:rsidR="0031076A" w:rsidRDefault="00935374">
            <w:pPr>
              <w:pStyle w:val="TableParagraph"/>
              <w:spacing w:line="243" w:lineRule="exact"/>
              <w:ind w:left="13" w:right="16"/>
              <w:jc w:val="center"/>
              <w:rPr>
                <w:sz w:val="20"/>
              </w:rPr>
            </w:pPr>
            <w:r>
              <w:rPr>
                <w:sz w:val="20"/>
              </w:rPr>
              <w:t>(0.0020)</w:t>
            </w:r>
          </w:p>
        </w:tc>
      </w:tr>
      <w:tr w:rsidR="0031076A">
        <w:trPr>
          <w:trHeight w:hRule="exact" w:val="259"/>
        </w:trPr>
        <w:tc>
          <w:tcPr>
            <w:tcW w:w="3377" w:type="dxa"/>
          </w:tcPr>
          <w:p w:rsidR="0031076A" w:rsidRDefault="00935374">
            <w:pPr>
              <w:pStyle w:val="TableParagraph"/>
              <w:spacing w:line="243" w:lineRule="exact"/>
              <w:ind w:left="268"/>
              <w:rPr>
                <w:b/>
                <w:sz w:val="20"/>
              </w:rPr>
            </w:pPr>
            <w:r>
              <w:rPr>
                <w:b/>
                <w:sz w:val="20"/>
              </w:rPr>
              <w:t>Surge</w:t>
            </w:r>
          </w:p>
        </w:tc>
        <w:tc>
          <w:tcPr>
            <w:tcW w:w="1200" w:type="dxa"/>
          </w:tcPr>
          <w:p w:rsidR="0031076A" w:rsidRDefault="00935374">
            <w:pPr>
              <w:pStyle w:val="TableParagraph"/>
              <w:spacing w:line="243" w:lineRule="exact"/>
              <w:ind w:left="211"/>
              <w:rPr>
                <w:sz w:val="20"/>
              </w:rPr>
            </w:pPr>
            <w:r>
              <w:rPr>
                <w:sz w:val="20"/>
              </w:rPr>
              <w:t>0.3240***</w:t>
            </w:r>
          </w:p>
        </w:tc>
        <w:tc>
          <w:tcPr>
            <w:tcW w:w="1200" w:type="dxa"/>
          </w:tcPr>
          <w:p w:rsidR="0031076A" w:rsidRDefault="00935374">
            <w:pPr>
              <w:pStyle w:val="TableParagraph"/>
              <w:spacing w:line="243" w:lineRule="exact"/>
              <w:ind w:left="134" w:right="140"/>
              <w:jc w:val="center"/>
              <w:rPr>
                <w:sz w:val="20"/>
              </w:rPr>
            </w:pPr>
            <w:r>
              <w:rPr>
                <w:sz w:val="20"/>
              </w:rPr>
              <w:t>(-51.31)</w:t>
            </w:r>
          </w:p>
        </w:tc>
        <w:tc>
          <w:tcPr>
            <w:tcW w:w="1200" w:type="dxa"/>
          </w:tcPr>
          <w:p w:rsidR="0031076A" w:rsidRDefault="00935374">
            <w:pPr>
              <w:pStyle w:val="TableParagraph"/>
              <w:spacing w:line="243" w:lineRule="exact"/>
              <w:ind w:left="93" w:right="95"/>
              <w:jc w:val="center"/>
              <w:rPr>
                <w:sz w:val="20"/>
              </w:rPr>
            </w:pPr>
            <w:r>
              <w:rPr>
                <w:sz w:val="20"/>
              </w:rPr>
              <w:t>0.2554***</w:t>
            </w:r>
          </w:p>
        </w:tc>
        <w:tc>
          <w:tcPr>
            <w:tcW w:w="1201" w:type="dxa"/>
          </w:tcPr>
          <w:p w:rsidR="0031076A" w:rsidRDefault="00935374">
            <w:pPr>
              <w:pStyle w:val="TableParagraph"/>
              <w:spacing w:line="243" w:lineRule="exact"/>
              <w:ind w:left="13" w:right="16"/>
              <w:jc w:val="center"/>
              <w:rPr>
                <w:sz w:val="20"/>
              </w:rPr>
            </w:pPr>
            <w:r>
              <w:rPr>
                <w:sz w:val="20"/>
              </w:rPr>
              <w:t>(0.0017)</w:t>
            </w:r>
          </w:p>
        </w:tc>
      </w:tr>
      <w:tr w:rsidR="0031076A">
        <w:trPr>
          <w:trHeight w:hRule="exact" w:val="259"/>
        </w:trPr>
        <w:tc>
          <w:tcPr>
            <w:tcW w:w="3377" w:type="dxa"/>
          </w:tcPr>
          <w:p w:rsidR="0031076A" w:rsidRDefault="00935374">
            <w:pPr>
              <w:pStyle w:val="TableParagraph"/>
              <w:spacing w:line="243" w:lineRule="exact"/>
              <w:ind w:left="268"/>
              <w:rPr>
                <w:b/>
                <w:sz w:val="20"/>
              </w:rPr>
            </w:pPr>
            <w:r>
              <w:rPr>
                <w:b/>
                <w:sz w:val="20"/>
              </w:rPr>
              <w:t>No-War</w:t>
            </w:r>
          </w:p>
        </w:tc>
        <w:tc>
          <w:tcPr>
            <w:tcW w:w="1200" w:type="dxa"/>
          </w:tcPr>
          <w:p w:rsidR="0031076A" w:rsidRDefault="00935374">
            <w:pPr>
              <w:pStyle w:val="TableParagraph"/>
              <w:spacing w:line="243" w:lineRule="exact"/>
              <w:ind w:left="211"/>
              <w:rPr>
                <w:sz w:val="20"/>
              </w:rPr>
            </w:pPr>
            <w:r>
              <w:rPr>
                <w:sz w:val="20"/>
              </w:rPr>
              <w:t>0.8049***</w:t>
            </w:r>
          </w:p>
        </w:tc>
        <w:tc>
          <w:tcPr>
            <w:tcW w:w="1200" w:type="dxa"/>
          </w:tcPr>
          <w:p w:rsidR="0031076A" w:rsidRDefault="00935374">
            <w:pPr>
              <w:pStyle w:val="TableParagraph"/>
              <w:spacing w:line="243" w:lineRule="exact"/>
              <w:ind w:left="134" w:right="140"/>
              <w:jc w:val="center"/>
              <w:rPr>
                <w:sz w:val="20"/>
              </w:rPr>
            </w:pPr>
            <w:r>
              <w:rPr>
                <w:sz w:val="20"/>
              </w:rPr>
              <w:t>(-22.93)</w:t>
            </w:r>
          </w:p>
        </w:tc>
        <w:tc>
          <w:tcPr>
            <w:tcW w:w="1200" w:type="dxa"/>
          </w:tcPr>
          <w:p w:rsidR="0031076A" w:rsidRDefault="00935374">
            <w:pPr>
              <w:pStyle w:val="TableParagraph"/>
              <w:spacing w:line="243" w:lineRule="exact"/>
              <w:ind w:left="91" w:right="95"/>
              <w:jc w:val="center"/>
              <w:rPr>
                <w:sz w:val="20"/>
              </w:rPr>
            </w:pPr>
            <w:r>
              <w:rPr>
                <w:sz w:val="20"/>
              </w:rPr>
              <w:t>-0.0630***</w:t>
            </w:r>
          </w:p>
        </w:tc>
        <w:tc>
          <w:tcPr>
            <w:tcW w:w="1201" w:type="dxa"/>
          </w:tcPr>
          <w:p w:rsidR="0031076A" w:rsidRDefault="00935374">
            <w:pPr>
              <w:pStyle w:val="TableParagraph"/>
              <w:spacing w:line="243" w:lineRule="exact"/>
              <w:ind w:left="13" w:right="16"/>
              <w:jc w:val="center"/>
              <w:rPr>
                <w:sz w:val="20"/>
              </w:rPr>
            </w:pPr>
            <w:r>
              <w:rPr>
                <w:sz w:val="20"/>
              </w:rPr>
              <w:t>(0.0020)</w:t>
            </w:r>
          </w:p>
        </w:tc>
      </w:tr>
      <w:tr w:rsidR="0031076A">
        <w:trPr>
          <w:trHeight w:hRule="exact" w:val="283"/>
        </w:trPr>
        <w:tc>
          <w:tcPr>
            <w:tcW w:w="3377" w:type="dxa"/>
          </w:tcPr>
          <w:p w:rsidR="0031076A" w:rsidRDefault="00935374">
            <w:pPr>
              <w:pStyle w:val="TableParagraph"/>
              <w:spacing w:before="23" w:line="240" w:lineRule="auto"/>
              <w:ind w:left="33"/>
              <w:rPr>
                <w:b/>
                <w:i/>
                <w:sz w:val="20"/>
              </w:rPr>
            </w:pPr>
            <w:r>
              <w:rPr>
                <w:b/>
                <w:i/>
                <w:sz w:val="20"/>
              </w:rPr>
              <w:t>Branch (Omitted: Army)</w:t>
            </w:r>
          </w:p>
        </w:tc>
        <w:tc>
          <w:tcPr>
            <w:tcW w:w="1200" w:type="dxa"/>
          </w:tcPr>
          <w:p w:rsidR="0031076A" w:rsidRDefault="0031076A"/>
        </w:tc>
        <w:tc>
          <w:tcPr>
            <w:tcW w:w="1200" w:type="dxa"/>
          </w:tcPr>
          <w:p w:rsidR="0031076A" w:rsidRDefault="0031076A"/>
        </w:tc>
        <w:tc>
          <w:tcPr>
            <w:tcW w:w="1200" w:type="dxa"/>
          </w:tcPr>
          <w:p w:rsidR="0031076A" w:rsidRDefault="0031076A"/>
        </w:tc>
        <w:tc>
          <w:tcPr>
            <w:tcW w:w="1201" w:type="dxa"/>
          </w:tcPr>
          <w:p w:rsidR="0031076A" w:rsidRDefault="0031076A"/>
        </w:tc>
      </w:tr>
      <w:tr w:rsidR="0031076A">
        <w:trPr>
          <w:trHeight w:hRule="exact" w:val="259"/>
        </w:trPr>
        <w:tc>
          <w:tcPr>
            <w:tcW w:w="3377" w:type="dxa"/>
          </w:tcPr>
          <w:p w:rsidR="0031076A" w:rsidRDefault="00935374">
            <w:pPr>
              <w:pStyle w:val="TableParagraph"/>
              <w:spacing w:line="243" w:lineRule="exact"/>
              <w:ind w:left="268"/>
              <w:rPr>
                <w:b/>
                <w:sz w:val="20"/>
              </w:rPr>
            </w:pPr>
            <w:r>
              <w:rPr>
                <w:b/>
                <w:sz w:val="20"/>
              </w:rPr>
              <w:t>USAF</w:t>
            </w:r>
          </w:p>
        </w:tc>
        <w:tc>
          <w:tcPr>
            <w:tcW w:w="1200" w:type="dxa"/>
          </w:tcPr>
          <w:p w:rsidR="0031076A" w:rsidRDefault="00935374">
            <w:pPr>
              <w:pStyle w:val="TableParagraph"/>
              <w:spacing w:line="243" w:lineRule="exact"/>
              <w:ind w:left="211"/>
              <w:rPr>
                <w:sz w:val="20"/>
              </w:rPr>
            </w:pPr>
            <w:r>
              <w:rPr>
                <w:sz w:val="20"/>
              </w:rPr>
              <w:t>0.4290***</w:t>
            </w:r>
          </w:p>
        </w:tc>
        <w:tc>
          <w:tcPr>
            <w:tcW w:w="1200" w:type="dxa"/>
          </w:tcPr>
          <w:p w:rsidR="0031076A" w:rsidRDefault="00935374">
            <w:pPr>
              <w:pStyle w:val="TableParagraph"/>
              <w:spacing w:line="243" w:lineRule="exact"/>
              <w:ind w:left="134" w:right="140"/>
              <w:jc w:val="center"/>
              <w:rPr>
                <w:sz w:val="20"/>
              </w:rPr>
            </w:pPr>
            <w:r>
              <w:rPr>
                <w:sz w:val="20"/>
              </w:rPr>
              <w:t>(-81.78)</w:t>
            </w:r>
          </w:p>
        </w:tc>
        <w:tc>
          <w:tcPr>
            <w:tcW w:w="1200" w:type="dxa"/>
          </w:tcPr>
          <w:p w:rsidR="0031076A" w:rsidRDefault="00935374">
            <w:pPr>
              <w:pStyle w:val="TableParagraph"/>
              <w:spacing w:line="243" w:lineRule="exact"/>
              <w:ind w:left="91" w:right="95"/>
              <w:jc w:val="center"/>
              <w:rPr>
                <w:sz w:val="20"/>
              </w:rPr>
            </w:pPr>
            <w:r>
              <w:rPr>
                <w:sz w:val="20"/>
              </w:rPr>
              <w:t>-0.1507***</w:t>
            </w:r>
          </w:p>
        </w:tc>
        <w:tc>
          <w:tcPr>
            <w:tcW w:w="1201" w:type="dxa"/>
          </w:tcPr>
          <w:p w:rsidR="0031076A" w:rsidRDefault="00935374">
            <w:pPr>
              <w:pStyle w:val="TableParagraph"/>
              <w:spacing w:line="243" w:lineRule="exact"/>
              <w:ind w:left="13" w:right="16"/>
              <w:jc w:val="center"/>
              <w:rPr>
                <w:sz w:val="20"/>
              </w:rPr>
            </w:pPr>
            <w:r>
              <w:rPr>
                <w:sz w:val="20"/>
              </w:rPr>
              <w:t>(0.0020)</w:t>
            </w:r>
          </w:p>
        </w:tc>
      </w:tr>
      <w:tr w:rsidR="0031076A">
        <w:trPr>
          <w:trHeight w:hRule="exact" w:val="260"/>
        </w:trPr>
        <w:tc>
          <w:tcPr>
            <w:tcW w:w="3377" w:type="dxa"/>
          </w:tcPr>
          <w:p w:rsidR="0031076A" w:rsidRDefault="00935374">
            <w:pPr>
              <w:pStyle w:val="TableParagraph"/>
              <w:spacing w:line="244" w:lineRule="exact"/>
              <w:ind w:left="268"/>
              <w:rPr>
                <w:b/>
                <w:sz w:val="20"/>
              </w:rPr>
            </w:pPr>
            <w:r>
              <w:rPr>
                <w:b/>
                <w:sz w:val="20"/>
              </w:rPr>
              <w:t>USMC</w:t>
            </w:r>
          </w:p>
        </w:tc>
        <w:tc>
          <w:tcPr>
            <w:tcW w:w="1200" w:type="dxa"/>
          </w:tcPr>
          <w:p w:rsidR="0031076A" w:rsidRDefault="00935374">
            <w:pPr>
              <w:pStyle w:val="TableParagraph"/>
              <w:spacing w:line="244" w:lineRule="exact"/>
              <w:ind w:left="211"/>
              <w:rPr>
                <w:sz w:val="20"/>
              </w:rPr>
            </w:pPr>
            <w:r>
              <w:rPr>
                <w:sz w:val="20"/>
              </w:rPr>
              <w:t>0.8156***</w:t>
            </w:r>
          </w:p>
        </w:tc>
        <w:tc>
          <w:tcPr>
            <w:tcW w:w="1200" w:type="dxa"/>
          </w:tcPr>
          <w:p w:rsidR="0031076A" w:rsidRDefault="00935374">
            <w:pPr>
              <w:pStyle w:val="TableParagraph"/>
              <w:spacing w:line="244" w:lineRule="exact"/>
              <w:ind w:left="134" w:right="140"/>
              <w:jc w:val="center"/>
              <w:rPr>
                <w:sz w:val="20"/>
              </w:rPr>
            </w:pPr>
            <w:r>
              <w:rPr>
                <w:sz w:val="20"/>
              </w:rPr>
              <w:t>(-20.05)</w:t>
            </w:r>
          </w:p>
        </w:tc>
        <w:tc>
          <w:tcPr>
            <w:tcW w:w="1200" w:type="dxa"/>
          </w:tcPr>
          <w:p w:rsidR="0031076A" w:rsidRDefault="00935374">
            <w:pPr>
              <w:pStyle w:val="TableParagraph"/>
              <w:spacing w:line="244" w:lineRule="exact"/>
              <w:ind w:left="91" w:right="95"/>
              <w:jc w:val="center"/>
              <w:rPr>
                <w:sz w:val="20"/>
              </w:rPr>
            </w:pPr>
            <w:r>
              <w:rPr>
                <w:sz w:val="20"/>
              </w:rPr>
              <w:t>-0.1536***</w:t>
            </w:r>
          </w:p>
        </w:tc>
        <w:tc>
          <w:tcPr>
            <w:tcW w:w="1201" w:type="dxa"/>
          </w:tcPr>
          <w:p w:rsidR="0031076A" w:rsidRDefault="00935374">
            <w:pPr>
              <w:pStyle w:val="TableParagraph"/>
              <w:spacing w:line="244" w:lineRule="exact"/>
              <w:ind w:left="13" w:right="16"/>
              <w:jc w:val="center"/>
              <w:rPr>
                <w:sz w:val="20"/>
              </w:rPr>
            </w:pPr>
            <w:r>
              <w:rPr>
                <w:sz w:val="20"/>
              </w:rPr>
              <w:t>(0.0019)</w:t>
            </w:r>
          </w:p>
        </w:tc>
      </w:tr>
      <w:tr w:rsidR="0031076A">
        <w:trPr>
          <w:trHeight w:hRule="exact" w:val="259"/>
        </w:trPr>
        <w:tc>
          <w:tcPr>
            <w:tcW w:w="3377" w:type="dxa"/>
          </w:tcPr>
          <w:p w:rsidR="0031076A" w:rsidRDefault="00935374">
            <w:pPr>
              <w:pStyle w:val="TableParagraph"/>
              <w:spacing w:line="243" w:lineRule="exact"/>
              <w:ind w:left="268"/>
              <w:rPr>
                <w:b/>
                <w:sz w:val="20"/>
              </w:rPr>
            </w:pPr>
            <w:r>
              <w:rPr>
                <w:b/>
                <w:sz w:val="20"/>
              </w:rPr>
              <w:t>USN</w:t>
            </w:r>
          </w:p>
        </w:tc>
        <w:tc>
          <w:tcPr>
            <w:tcW w:w="1200" w:type="dxa"/>
          </w:tcPr>
          <w:p w:rsidR="0031076A" w:rsidRDefault="00935374">
            <w:pPr>
              <w:pStyle w:val="TableParagraph"/>
              <w:spacing w:line="243" w:lineRule="exact"/>
              <w:ind w:left="211"/>
              <w:rPr>
                <w:sz w:val="20"/>
              </w:rPr>
            </w:pPr>
            <w:r>
              <w:rPr>
                <w:sz w:val="20"/>
              </w:rPr>
              <w:t>0.7340***</w:t>
            </w:r>
          </w:p>
        </w:tc>
        <w:tc>
          <w:tcPr>
            <w:tcW w:w="1200" w:type="dxa"/>
          </w:tcPr>
          <w:p w:rsidR="0031076A" w:rsidRDefault="00935374">
            <w:pPr>
              <w:pStyle w:val="TableParagraph"/>
              <w:spacing w:line="243" w:lineRule="exact"/>
              <w:ind w:left="134" w:right="140"/>
              <w:jc w:val="center"/>
              <w:rPr>
                <w:sz w:val="20"/>
              </w:rPr>
            </w:pPr>
            <w:r>
              <w:rPr>
                <w:sz w:val="20"/>
              </w:rPr>
              <w:t>(-33.38)</w:t>
            </w:r>
          </w:p>
        </w:tc>
        <w:tc>
          <w:tcPr>
            <w:tcW w:w="1200" w:type="dxa"/>
          </w:tcPr>
          <w:p w:rsidR="0031076A" w:rsidRDefault="00935374">
            <w:pPr>
              <w:pStyle w:val="TableParagraph"/>
              <w:spacing w:line="243" w:lineRule="exact"/>
              <w:ind w:left="91" w:right="95"/>
              <w:jc w:val="center"/>
              <w:rPr>
                <w:sz w:val="20"/>
              </w:rPr>
            </w:pPr>
            <w:r>
              <w:rPr>
                <w:sz w:val="20"/>
              </w:rPr>
              <w:t>-0.2509***</w:t>
            </w:r>
          </w:p>
        </w:tc>
        <w:tc>
          <w:tcPr>
            <w:tcW w:w="1201" w:type="dxa"/>
          </w:tcPr>
          <w:p w:rsidR="0031076A" w:rsidRDefault="00935374">
            <w:pPr>
              <w:pStyle w:val="TableParagraph"/>
              <w:spacing w:line="243" w:lineRule="exact"/>
              <w:ind w:left="13" w:right="16"/>
              <w:jc w:val="center"/>
              <w:rPr>
                <w:sz w:val="20"/>
              </w:rPr>
            </w:pPr>
            <w:r>
              <w:rPr>
                <w:sz w:val="20"/>
              </w:rPr>
              <w:t>(0.0018)</w:t>
            </w:r>
          </w:p>
        </w:tc>
      </w:tr>
      <w:tr w:rsidR="0031076A">
        <w:trPr>
          <w:trHeight w:hRule="exact" w:val="259"/>
        </w:trPr>
        <w:tc>
          <w:tcPr>
            <w:tcW w:w="3377" w:type="dxa"/>
          </w:tcPr>
          <w:p w:rsidR="0031076A" w:rsidRDefault="00935374">
            <w:pPr>
              <w:pStyle w:val="TableParagraph"/>
              <w:spacing w:line="243" w:lineRule="exact"/>
              <w:ind w:left="33"/>
              <w:rPr>
                <w:b/>
                <w:sz w:val="20"/>
              </w:rPr>
            </w:pPr>
            <w:r>
              <w:rPr>
                <w:b/>
                <w:sz w:val="20"/>
              </w:rPr>
              <w:t>Female</w:t>
            </w:r>
          </w:p>
        </w:tc>
        <w:tc>
          <w:tcPr>
            <w:tcW w:w="1200" w:type="dxa"/>
          </w:tcPr>
          <w:p w:rsidR="0031076A" w:rsidRDefault="00935374">
            <w:pPr>
              <w:pStyle w:val="TableParagraph"/>
              <w:spacing w:line="243" w:lineRule="exact"/>
              <w:ind w:left="211"/>
              <w:rPr>
                <w:sz w:val="20"/>
              </w:rPr>
            </w:pPr>
            <w:r>
              <w:rPr>
                <w:sz w:val="20"/>
              </w:rPr>
              <w:t>0.8546***</w:t>
            </w:r>
          </w:p>
        </w:tc>
        <w:tc>
          <w:tcPr>
            <w:tcW w:w="1200" w:type="dxa"/>
          </w:tcPr>
          <w:p w:rsidR="0031076A" w:rsidRDefault="00935374">
            <w:pPr>
              <w:pStyle w:val="TableParagraph"/>
              <w:spacing w:line="243" w:lineRule="exact"/>
              <w:ind w:left="134" w:right="140"/>
              <w:jc w:val="center"/>
              <w:rPr>
                <w:sz w:val="20"/>
              </w:rPr>
            </w:pPr>
            <w:r>
              <w:rPr>
                <w:sz w:val="20"/>
              </w:rPr>
              <w:t>(-15.78)</w:t>
            </w:r>
          </w:p>
        </w:tc>
        <w:tc>
          <w:tcPr>
            <w:tcW w:w="1200" w:type="dxa"/>
          </w:tcPr>
          <w:p w:rsidR="0031076A" w:rsidRDefault="00935374">
            <w:pPr>
              <w:pStyle w:val="TableParagraph"/>
              <w:spacing w:line="243" w:lineRule="exact"/>
              <w:ind w:left="91" w:right="95"/>
              <w:jc w:val="center"/>
              <w:rPr>
                <w:sz w:val="20"/>
              </w:rPr>
            </w:pPr>
            <w:r>
              <w:rPr>
                <w:sz w:val="20"/>
              </w:rPr>
              <w:t>-0.0352***</w:t>
            </w:r>
          </w:p>
        </w:tc>
        <w:tc>
          <w:tcPr>
            <w:tcW w:w="1201" w:type="dxa"/>
          </w:tcPr>
          <w:p w:rsidR="0031076A" w:rsidRDefault="00935374">
            <w:pPr>
              <w:pStyle w:val="TableParagraph"/>
              <w:spacing w:line="243" w:lineRule="exact"/>
              <w:ind w:left="13" w:right="16"/>
              <w:jc w:val="center"/>
              <w:rPr>
                <w:sz w:val="20"/>
              </w:rPr>
            </w:pPr>
            <w:r>
              <w:rPr>
                <w:sz w:val="20"/>
              </w:rPr>
              <w:t>(0.0018)</w:t>
            </w:r>
          </w:p>
        </w:tc>
      </w:tr>
      <w:tr w:rsidR="0031076A">
        <w:trPr>
          <w:trHeight w:hRule="exact" w:val="259"/>
        </w:trPr>
        <w:tc>
          <w:tcPr>
            <w:tcW w:w="3377" w:type="dxa"/>
          </w:tcPr>
          <w:p w:rsidR="0031076A" w:rsidRDefault="00935374">
            <w:pPr>
              <w:pStyle w:val="TableParagraph"/>
              <w:spacing w:line="243" w:lineRule="exact"/>
              <w:ind w:left="33"/>
              <w:rPr>
                <w:b/>
                <w:sz w:val="20"/>
              </w:rPr>
            </w:pPr>
            <w:r>
              <w:rPr>
                <w:b/>
                <w:sz w:val="20"/>
              </w:rPr>
              <w:t>Citizen at Entry</w:t>
            </w:r>
          </w:p>
        </w:tc>
        <w:tc>
          <w:tcPr>
            <w:tcW w:w="1200" w:type="dxa"/>
          </w:tcPr>
          <w:p w:rsidR="0031076A" w:rsidRDefault="00935374">
            <w:pPr>
              <w:pStyle w:val="TableParagraph"/>
              <w:spacing w:line="243" w:lineRule="exact"/>
              <w:ind w:left="211"/>
              <w:rPr>
                <w:sz w:val="20"/>
              </w:rPr>
            </w:pPr>
            <w:r>
              <w:rPr>
                <w:sz w:val="20"/>
              </w:rPr>
              <w:t>0.9804</w:t>
            </w:r>
          </w:p>
        </w:tc>
        <w:tc>
          <w:tcPr>
            <w:tcW w:w="1200" w:type="dxa"/>
          </w:tcPr>
          <w:p w:rsidR="0031076A" w:rsidRDefault="00935374">
            <w:pPr>
              <w:pStyle w:val="TableParagraph"/>
              <w:spacing w:line="243" w:lineRule="exact"/>
              <w:ind w:left="135" w:right="140"/>
              <w:jc w:val="center"/>
              <w:rPr>
                <w:sz w:val="20"/>
              </w:rPr>
            </w:pPr>
            <w:r>
              <w:rPr>
                <w:sz w:val="20"/>
              </w:rPr>
              <w:t>(-1.14)</w:t>
            </w:r>
          </w:p>
        </w:tc>
        <w:tc>
          <w:tcPr>
            <w:tcW w:w="1200" w:type="dxa"/>
          </w:tcPr>
          <w:p w:rsidR="0031076A" w:rsidRDefault="00935374">
            <w:pPr>
              <w:pStyle w:val="TableParagraph"/>
              <w:spacing w:line="243" w:lineRule="exact"/>
              <w:ind w:left="91" w:right="95"/>
              <w:jc w:val="center"/>
              <w:rPr>
                <w:sz w:val="20"/>
              </w:rPr>
            </w:pPr>
            <w:r>
              <w:rPr>
                <w:sz w:val="20"/>
              </w:rPr>
              <w:t>-0.0341***</w:t>
            </w:r>
          </w:p>
        </w:tc>
        <w:tc>
          <w:tcPr>
            <w:tcW w:w="1201" w:type="dxa"/>
          </w:tcPr>
          <w:p w:rsidR="0031076A" w:rsidRDefault="00935374">
            <w:pPr>
              <w:pStyle w:val="TableParagraph"/>
              <w:spacing w:line="243" w:lineRule="exact"/>
              <w:ind w:left="13" w:right="16"/>
              <w:jc w:val="center"/>
              <w:rPr>
                <w:sz w:val="20"/>
              </w:rPr>
            </w:pPr>
            <w:r>
              <w:rPr>
                <w:sz w:val="20"/>
              </w:rPr>
              <w:t>(0.0036)</w:t>
            </w:r>
          </w:p>
        </w:tc>
      </w:tr>
      <w:tr w:rsidR="0031076A">
        <w:trPr>
          <w:trHeight w:hRule="exact" w:val="283"/>
        </w:trPr>
        <w:tc>
          <w:tcPr>
            <w:tcW w:w="3377" w:type="dxa"/>
          </w:tcPr>
          <w:p w:rsidR="0031076A" w:rsidRDefault="00935374">
            <w:pPr>
              <w:pStyle w:val="TableParagraph"/>
              <w:spacing w:before="23" w:line="240" w:lineRule="auto"/>
              <w:ind w:left="33"/>
              <w:rPr>
                <w:b/>
                <w:i/>
                <w:sz w:val="20"/>
              </w:rPr>
            </w:pPr>
            <w:r>
              <w:rPr>
                <w:b/>
                <w:i/>
                <w:sz w:val="20"/>
              </w:rPr>
              <w:t>Race (Omitted: White)</w:t>
            </w:r>
          </w:p>
        </w:tc>
        <w:tc>
          <w:tcPr>
            <w:tcW w:w="1200" w:type="dxa"/>
          </w:tcPr>
          <w:p w:rsidR="0031076A" w:rsidRDefault="0031076A"/>
        </w:tc>
        <w:tc>
          <w:tcPr>
            <w:tcW w:w="1200" w:type="dxa"/>
          </w:tcPr>
          <w:p w:rsidR="0031076A" w:rsidRDefault="0031076A"/>
        </w:tc>
        <w:tc>
          <w:tcPr>
            <w:tcW w:w="1200" w:type="dxa"/>
          </w:tcPr>
          <w:p w:rsidR="0031076A" w:rsidRDefault="0031076A"/>
        </w:tc>
        <w:tc>
          <w:tcPr>
            <w:tcW w:w="1201" w:type="dxa"/>
          </w:tcPr>
          <w:p w:rsidR="0031076A" w:rsidRDefault="0031076A"/>
        </w:tc>
      </w:tr>
      <w:tr w:rsidR="0031076A">
        <w:trPr>
          <w:trHeight w:hRule="exact" w:val="259"/>
        </w:trPr>
        <w:tc>
          <w:tcPr>
            <w:tcW w:w="3377" w:type="dxa"/>
          </w:tcPr>
          <w:p w:rsidR="0031076A" w:rsidRDefault="00935374">
            <w:pPr>
              <w:pStyle w:val="TableParagraph"/>
              <w:spacing w:line="243" w:lineRule="exact"/>
              <w:ind w:left="268"/>
              <w:rPr>
                <w:b/>
                <w:sz w:val="20"/>
              </w:rPr>
            </w:pPr>
            <w:r>
              <w:rPr>
                <w:b/>
                <w:sz w:val="20"/>
              </w:rPr>
              <w:t>Black</w:t>
            </w:r>
          </w:p>
        </w:tc>
        <w:tc>
          <w:tcPr>
            <w:tcW w:w="1200" w:type="dxa"/>
          </w:tcPr>
          <w:p w:rsidR="0031076A" w:rsidRDefault="00935374">
            <w:pPr>
              <w:pStyle w:val="TableParagraph"/>
              <w:spacing w:line="243" w:lineRule="exact"/>
              <w:ind w:left="211"/>
              <w:rPr>
                <w:sz w:val="20"/>
              </w:rPr>
            </w:pPr>
            <w:r>
              <w:rPr>
                <w:sz w:val="20"/>
              </w:rPr>
              <w:t>0.7347***</w:t>
            </w:r>
          </w:p>
        </w:tc>
        <w:tc>
          <w:tcPr>
            <w:tcW w:w="1200" w:type="dxa"/>
          </w:tcPr>
          <w:p w:rsidR="0031076A" w:rsidRDefault="00935374">
            <w:pPr>
              <w:pStyle w:val="TableParagraph"/>
              <w:spacing w:line="243" w:lineRule="exact"/>
              <w:ind w:left="134" w:right="140"/>
              <w:jc w:val="center"/>
              <w:rPr>
                <w:sz w:val="20"/>
              </w:rPr>
            </w:pPr>
            <w:r>
              <w:rPr>
                <w:sz w:val="20"/>
              </w:rPr>
              <w:t>(-29.29)</w:t>
            </w:r>
          </w:p>
        </w:tc>
        <w:tc>
          <w:tcPr>
            <w:tcW w:w="1200" w:type="dxa"/>
          </w:tcPr>
          <w:p w:rsidR="0031076A" w:rsidRDefault="00935374">
            <w:pPr>
              <w:pStyle w:val="TableParagraph"/>
              <w:spacing w:line="243" w:lineRule="exact"/>
              <w:ind w:left="91" w:right="95"/>
              <w:jc w:val="center"/>
              <w:rPr>
                <w:sz w:val="20"/>
              </w:rPr>
            </w:pPr>
            <w:r>
              <w:rPr>
                <w:sz w:val="20"/>
              </w:rPr>
              <w:t>-0.0510***</w:t>
            </w:r>
          </w:p>
        </w:tc>
        <w:tc>
          <w:tcPr>
            <w:tcW w:w="1201" w:type="dxa"/>
          </w:tcPr>
          <w:p w:rsidR="0031076A" w:rsidRDefault="00935374">
            <w:pPr>
              <w:pStyle w:val="TableParagraph"/>
              <w:spacing w:line="243" w:lineRule="exact"/>
              <w:ind w:left="13" w:right="16"/>
              <w:jc w:val="center"/>
              <w:rPr>
                <w:sz w:val="20"/>
              </w:rPr>
            </w:pPr>
            <w:r>
              <w:rPr>
                <w:sz w:val="20"/>
              </w:rPr>
              <w:t>(0.0019)</w:t>
            </w:r>
          </w:p>
        </w:tc>
      </w:tr>
      <w:tr w:rsidR="0031076A">
        <w:trPr>
          <w:trHeight w:hRule="exact" w:val="259"/>
        </w:trPr>
        <w:tc>
          <w:tcPr>
            <w:tcW w:w="3377" w:type="dxa"/>
          </w:tcPr>
          <w:p w:rsidR="0031076A" w:rsidRDefault="00935374">
            <w:pPr>
              <w:pStyle w:val="TableParagraph"/>
              <w:spacing w:line="243" w:lineRule="exact"/>
              <w:ind w:left="268"/>
              <w:rPr>
                <w:b/>
                <w:sz w:val="20"/>
              </w:rPr>
            </w:pPr>
            <w:r>
              <w:rPr>
                <w:b/>
                <w:sz w:val="20"/>
              </w:rPr>
              <w:t>Asian</w:t>
            </w:r>
          </w:p>
        </w:tc>
        <w:tc>
          <w:tcPr>
            <w:tcW w:w="1200" w:type="dxa"/>
          </w:tcPr>
          <w:p w:rsidR="0031076A" w:rsidRDefault="00935374">
            <w:pPr>
              <w:pStyle w:val="TableParagraph"/>
              <w:spacing w:line="243" w:lineRule="exact"/>
              <w:ind w:left="211"/>
              <w:rPr>
                <w:sz w:val="20"/>
              </w:rPr>
            </w:pPr>
            <w:r>
              <w:rPr>
                <w:sz w:val="20"/>
              </w:rPr>
              <w:t>0.8978***</w:t>
            </w:r>
          </w:p>
        </w:tc>
        <w:tc>
          <w:tcPr>
            <w:tcW w:w="1200" w:type="dxa"/>
          </w:tcPr>
          <w:p w:rsidR="0031076A" w:rsidRDefault="00935374">
            <w:pPr>
              <w:pStyle w:val="TableParagraph"/>
              <w:spacing w:line="243" w:lineRule="exact"/>
              <w:ind w:left="135" w:right="140"/>
              <w:jc w:val="center"/>
              <w:rPr>
                <w:sz w:val="20"/>
              </w:rPr>
            </w:pPr>
            <w:r>
              <w:rPr>
                <w:sz w:val="20"/>
              </w:rPr>
              <w:t>(-5.16)</w:t>
            </w:r>
          </w:p>
        </w:tc>
        <w:tc>
          <w:tcPr>
            <w:tcW w:w="1200" w:type="dxa"/>
          </w:tcPr>
          <w:p w:rsidR="0031076A" w:rsidRDefault="00935374">
            <w:pPr>
              <w:pStyle w:val="TableParagraph"/>
              <w:spacing w:line="243" w:lineRule="exact"/>
              <w:ind w:left="91" w:right="95"/>
              <w:jc w:val="center"/>
              <w:rPr>
                <w:sz w:val="20"/>
              </w:rPr>
            </w:pPr>
            <w:r>
              <w:rPr>
                <w:sz w:val="20"/>
              </w:rPr>
              <w:t>0.0040</w:t>
            </w:r>
          </w:p>
        </w:tc>
        <w:tc>
          <w:tcPr>
            <w:tcW w:w="1201" w:type="dxa"/>
          </w:tcPr>
          <w:p w:rsidR="0031076A" w:rsidRDefault="00935374">
            <w:pPr>
              <w:pStyle w:val="TableParagraph"/>
              <w:spacing w:line="243" w:lineRule="exact"/>
              <w:ind w:left="13" w:right="16"/>
              <w:jc w:val="center"/>
              <w:rPr>
                <w:sz w:val="20"/>
              </w:rPr>
            </w:pPr>
            <w:r>
              <w:rPr>
                <w:sz w:val="20"/>
              </w:rPr>
              <w:t>(0.0042)</w:t>
            </w:r>
          </w:p>
        </w:tc>
      </w:tr>
      <w:tr w:rsidR="0031076A">
        <w:trPr>
          <w:trHeight w:hRule="exact" w:val="259"/>
        </w:trPr>
        <w:tc>
          <w:tcPr>
            <w:tcW w:w="3377" w:type="dxa"/>
          </w:tcPr>
          <w:p w:rsidR="0031076A" w:rsidRDefault="00935374">
            <w:pPr>
              <w:pStyle w:val="TableParagraph"/>
              <w:spacing w:line="243" w:lineRule="exact"/>
              <w:ind w:left="268"/>
              <w:rPr>
                <w:b/>
                <w:sz w:val="20"/>
              </w:rPr>
            </w:pPr>
            <w:r>
              <w:rPr>
                <w:b/>
                <w:sz w:val="20"/>
              </w:rPr>
              <w:t>AI/AN</w:t>
            </w:r>
          </w:p>
        </w:tc>
        <w:tc>
          <w:tcPr>
            <w:tcW w:w="1200" w:type="dxa"/>
          </w:tcPr>
          <w:p w:rsidR="0031076A" w:rsidRDefault="00935374">
            <w:pPr>
              <w:pStyle w:val="TableParagraph"/>
              <w:spacing w:line="243" w:lineRule="exact"/>
              <w:ind w:left="211"/>
              <w:rPr>
                <w:sz w:val="20"/>
              </w:rPr>
            </w:pPr>
            <w:r>
              <w:rPr>
                <w:sz w:val="20"/>
              </w:rPr>
              <w:t>0.9627</w:t>
            </w:r>
          </w:p>
        </w:tc>
        <w:tc>
          <w:tcPr>
            <w:tcW w:w="1200" w:type="dxa"/>
          </w:tcPr>
          <w:p w:rsidR="0031076A" w:rsidRDefault="00935374">
            <w:pPr>
              <w:pStyle w:val="TableParagraph"/>
              <w:spacing w:line="243" w:lineRule="exact"/>
              <w:ind w:left="135" w:right="140"/>
              <w:jc w:val="center"/>
              <w:rPr>
                <w:sz w:val="20"/>
              </w:rPr>
            </w:pPr>
            <w:r>
              <w:rPr>
                <w:sz w:val="20"/>
              </w:rPr>
              <w:t>(-1.62)</w:t>
            </w:r>
          </w:p>
        </w:tc>
        <w:tc>
          <w:tcPr>
            <w:tcW w:w="1200" w:type="dxa"/>
          </w:tcPr>
          <w:p w:rsidR="0031076A" w:rsidRDefault="00935374">
            <w:pPr>
              <w:pStyle w:val="TableParagraph"/>
              <w:spacing w:line="243" w:lineRule="exact"/>
              <w:ind w:left="90" w:right="95"/>
              <w:jc w:val="center"/>
              <w:rPr>
                <w:sz w:val="20"/>
              </w:rPr>
            </w:pPr>
            <w:r>
              <w:rPr>
                <w:sz w:val="20"/>
              </w:rPr>
              <w:t>-0.0032</w:t>
            </w:r>
          </w:p>
        </w:tc>
        <w:tc>
          <w:tcPr>
            <w:tcW w:w="1201" w:type="dxa"/>
          </w:tcPr>
          <w:p w:rsidR="0031076A" w:rsidRDefault="00935374">
            <w:pPr>
              <w:pStyle w:val="TableParagraph"/>
              <w:spacing w:line="243" w:lineRule="exact"/>
              <w:ind w:left="13" w:right="16"/>
              <w:jc w:val="center"/>
              <w:rPr>
                <w:sz w:val="20"/>
              </w:rPr>
            </w:pPr>
            <w:r>
              <w:rPr>
                <w:sz w:val="20"/>
              </w:rPr>
              <w:t>(0.0045)</w:t>
            </w:r>
          </w:p>
        </w:tc>
      </w:tr>
      <w:tr w:rsidR="0031076A">
        <w:trPr>
          <w:trHeight w:hRule="exact" w:val="259"/>
        </w:trPr>
        <w:tc>
          <w:tcPr>
            <w:tcW w:w="3377" w:type="dxa"/>
          </w:tcPr>
          <w:p w:rsidR="0031076A" w:rsidRDefault="00935374">
            <w:pPr>
              <w:pStyle w:val="TableParagraph"/>
              <w:spacing w:line="243" w:lineRule="exact"/>
              <w:ind w:left="268"/>
              <w:rPr>
                <w:b/>
                <w:sz w:val="20"/>
              </w:rPr>
            </w:pPr>
            <w:r>
              <w:rPr>
                <w:b/>
                <w:sz w:val="20"/>
              </w:rPr>
              <w:t>NAT HI/OT PI</w:t>
            </w:r>
          </w:p>
        </w:tc>
        <w:tc>
          <w:tcPr>
            <w:tcW w:w="1200" w:type="dxa"/>
          </w:tcPr>
          <w:p w:rsidR="0031076A" w:rsidRDefault="00935374">
            <w:pPr>
              <w:pStyle w:val="TableParagraph"/>
              <w:spacing w:line="243" w:lineRule="exact"/>
              <w:ind w:left="211"/>
              <w:rPr>
                <w:sz w:val="20"/>
              </w:rPr>
            </w:pPr>
            <w:r>
              <w:rPr>
                <w:sz w:val="20"/>
              </w:rPr>
              <w:t>0.9429</w:t>
            </w:r>
          </w:p>
        </w:tc>
        <w:tc>
          <w:tcPr>
            <w:tcW w:w="1200" w:type="dxa"/>
          </w:tcPr>
          <w:p w:rsidR="0031076A" w:rsidRDefault="00935374">
            <w:pPr>
              <w:pStyle w:val="TableParagraph"/>
              <w:spacing w:line="243" w:lineRule="exact"/>
              <w:ind w:left="135" w:right="140"/>
              <w:jc w:val="center"/>
              <w:rPr>
                <w:sz w:val="20"/>
              </w:rPr>
            </w:pPr>
            <w:r>
              <w:rPr>
                <w:sz w:val="20"/>
              </w:rPr>
              <w:t>(-1.58)</w:t>
            </w:r>
          </w:p>
        </w:tc>
        <w:tc>
          <w:tcPr>
            <w:tcW w:w="1200" w:type="dxa"/>
          </w:tcPr>
          <w:p w:rsidR="0031076A" w:rsidRDefault="00935374">
            <w:pPr>
              <w:pStyle w:val="TableParagraph"/>
              <w:spacing w:line="243" w:lineRule="exact"/>
              <w:ind w:left="93" w:right="94"/>
              <w:jc w:val="center"/>
              <w:rPr>
                <w:sz w:val="20"/>
              </w:rPr>
            </w:pPr>
            <w:r>
              <w:rPr>
                <w:sz w:val="20"/>
              </w:rPr>
              <w:t>-0.0147*</w:t>
            </w:r>
          </w:p>
        </w:tc>
        <w:tc>
          <w:tcPr>
            <w:tcW w:w="1201" w:type="dxa"/>
          </w:tcPr>
          <w:p w:rsidR="0031076A" w:rsidRDefault="00935374">
            <w:pPr>
              <w:pStyle w:val="TableParagraph"/>
              <w:spacing w:line="243" w:lineRule="exact"/>
              <w:ind w:left="13" w:right="16"/>
              <w:jc w:val="center"/>
              <w:rPr>
                <w:sz w:val="20"/>
              </w:rPr>
            </w:pPr>
            <w:r>
              <w:rPr>
                <w:sz w:val="20"/>
              </w:rPr>
              <w:t>(0.0069)</w:t>
            </w:r>
          </w:p>
        </w:tc>
      </w:tr>
    </w:tbl>
    <w:p w:rsidR="0031076A" w:rsidRDefault="0031076A">
      <w:pPr>
        <w:spacing w:line="243" w:lineRule="exact"/>
        <w:jc w:val="center"/>
        <w:rPr>
          <w:sz w:val="20"/>
        </w:rPr>
        <w:sectPr w:rsidR="0031076A">
          <w:pgSz w:w="12240" w:h="15840"/>
          <w:pgMar w:top="1500" w:right="1720" w:bottom="280" w:left="1280" w:header="720" w:footer="720" w:gutter="0"/>
          <w:cols w:space="720"/>
        </w:sectPr>
      </w:pPr>
    </w:p>
    <w:p w:rsidR="0031076A" w:rsidRDefault="0031076A">
      <w:pPr>
        <w:pStyle w:val="BodyText"/>
        <w:spacing w:before="2"/>
        <w:rPr>
          <w:rFonts w:ascii="Times New Roman"/>
          <w:sz w:val="18"/>
        </w:rPr>
      </w:pPr>
    </w:p>
    <w:tbl>
      <w:tblPr>
        <w:tblW w:w="0" w:type="auto"/>
        <w:tblInd w:w="112"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3377"/>
        <w:gridCol w:w="1200"/>
        <w:gridCol w:w="1200"/>
        <w:gridCol w:w="1200"/>
        <w:gridCol w:w="1201"/>
      </w:tblGrid>
      <w:tr w:rsidR="0031076A">
        <w:trPr>
          <w:trHeight w:hRule="exact" w:val="259"/>
        </w:trPr>
        <w:tc>
          <w:tcPr>
            <w:tcW w:w="3377" w:type="dxa"/>
          </w:tcPr>
          <w:p w:rsidR="0031076A" w:rsidRDefault="00935374">
            <w:pPr>
              <w:pStyle w:val="TableParagraph"/>
              <w:spacing w:line="243" w:lineRule="exact"/>
              <w:ind w:left="268"/>
              <w:rPr>
                <w:b/>
                <w:sz w:val="20"/>
              </w:rPr>
            </w:pPr>
            <w:r>
              <w:rPr>
                <w:b/>
                <w:sz w:val="20"/>
              </w:rPr>
              <w:t>2+ Races</w:t>
            </w:r>
          </w:p>
        </w:tc>
        <w:tc>
          <w:tcPr>
            <w:tcW w:w="1200" w:type="dxa"/>
          </w:tcPr>
          <w:p w:rsidR="0031076A" w:rsidRDefault="00935374">
            <w:pPr>
              <w:pStyle w:val="TableParagraph"/>
              <w:spacing w:line="243" w:lineRule="exact"/>
              <w:ind w:left="211"/>
              <w:rPr>
                <w:sz w:val="20"/>
              </w:rPr>
            </w:pPr>
            <w:r>
              <w:rPr>
                <w:sz w:val="20"/>
              </w:rPr>
              <w:t>0.9329*</w:t>
            </w:r>
          </w:p>
        </w:tc>
        <w:tc>
          <w:tcPr>
            <w:tcW w:w="1200" w:type="dxa"/>
          </w:tcPr>
          <w:p w:rsidR="0031076A" w:rsidRDefault="00935374">
            <w:pPr>
              <w:pStyle w:val="TableParagraph"/>
              <w:spacing w:line="243" w:lineRule="exact"/>
              <w:ind w:left="321"/>
              <w:rPr>
                <w:sz w:val="20"/>
              </w:rPr>
            </w:pPr>
            <w:r>
              <w:rPr>
                <w:sz w:val="20"/>
              </w:rPr>
              <w:t>(-2.29)</w:t>
            </w:r>
          </w:p>
        </w:tc>
        <w:tc>
          <w:tcPr>
            <w:tcW w:w="1200" w:type="dxa"/>
          </w:tcPr>
          <w:p w:rsidR="0031076A" w:rsidRDefault="00935374">
            <w:pPr>
              <w:pStyle w:val="TableParagraph"/>
              <w:spacing w:line="243" w:lineRule="exact"/>
              <w:ind w:left="91" w:right="95"/>
              <w:jc w:val="center"/>
              <w:rPr>
                <w:sz w:val="20"/>
              </w:rPr>
            </w:pPr>
            <w:r>
              <w:rPr>
                <w:sz w:val="20"/>
              </w:rPr>
              <w:t>-0.0253***</w:t>
            </w:r>
          </w:p>
        </w:tc>
        <w:tc>
          <w:tcPr>
            <w:tcW w:w="1201" w:type="dxa"/>
          </w:tcPr>
          <w:p w:rsidR="0031076A" w:rsidRDefault="00935374">
            <w:pPr>
              <w:pStyle w:val="TableParagraph"/>
              <w:spacing w:line="243" w:lineRule="exact"/>
              <w:ind w:left="13" w:right="16"/>
              <w:jc w:val="center"/>
              <w:rPr>
                <w:sz w:val="20"/>
              </w:rPr>
            </w:pPr>
            <w:r>
              <w:rPr>
                <w:sz w:val="20"/>
              </w:rPr>
              <w:t>(0.0060)</w:t>
            </w:r>
          </w:p>
        </w:tc>
      </w:tr>
      <w:tr w:rsidR="0031076A">
        <w:trPr>
          <w:trHeight w:hRule="exact" w:val="259"/>
        </w:trPr>
        <w:tc>
          <w:tcPr>
            <w:tcW w:w="3377" w:type="dxa"/>
          </w:tcPr>
          <w:p w:rsidR="0031076A" w:rsidRDefault="00935374">
            <w:pPr>
              <w:pStyle w:val="TableParagraph"/>
              <w:spacing w:line="243" w:lineRule="exact"/>
              <w:ind w:left="268"/>
              <w:rPr>
                <w:b/>
                <w:sz w:val="20"/>
              </w:rPr>
            </w:pPr>
            <w:r>
              <w:rPr>
                <w:b/>
                <w:sz w:val="20"/>
              </w:rPr>
              <w:t>Race Missing/NA</w:t>
            </w:r>
          </w:p>
        </w:tc>
        <w:tc>
          <w:tcPr>
            <w:tcW w:w="1200" w:type="dxa"/>
          </w:tcPr>
          <w:p w:rsidR="0031076A" w:rsidRDefault="00935374">
            <w:pPr>
              <w:pStyle w:val="TableParagraph"/>
              <w:spacing w:line="243" w:lineRule="exact"/>
              <w:ind w:left="211"/>
              <w:rPr>
                <w:sz w:val="20"/>
              </w:rPr>
            </w:pPr>
            <w:r>
              <w:rPr>
                <w:sz w:val="20"/>
              </w:rPr>
              <w:t>1.0151</w:t>
            </w:r>
          </w:p>
        </w:tc>
        <w:tc>
          <w:tcPr>
            <w:tcW w:w="1200" w:type="dxa"/>
          </w:tcPr>
          <w:p w:rsidR="0031076A" w:rsidRDefault="00935374">
            <w:pPr>
              <w:pStyle w:val="TableParagraph"/>
              <w:spacing w:line="243" w:lineRule="exact"/>
              <w:ind w:left="136" w:right="140"/>
              <w:jc w:val="center"/>
              <w:rPr>
                <w:sz w:val="20"/>
              </w:rPr>
            </w:pPr>
            <w:r>
              <w:rPr>
                <w:sz w:val="20"/>
              </w:rPr>
              <w:t>(0.9)</w:t>
            </w:r>
          </w:p>
        </w:tc>
        <w:tc>
          <w:tcPr>
            <w:tcW w:w="1200" w:type="dxa"/>
          </w:tcPr>
          <w:p w:rsidR="0031076A" w:rsidRDefault="00935374">
            <w:pPr>
              <w:pStyle w:val="TableParagraph"/>
              <w:spacing w:line="243" w:lineRule="exact"/>
              <w:ind w:left="93" w:right="95"/>
              <w:jc w:val="center"/>
              <w:rPr>
                <w:sz w:val="20"/>
              </w:rPr>
            </w:pPr>
            <w:r>
              <w:rPr>
                <w:sz w:val="20"/>
              </w:rPr>
              <w:t>0.0113**</w:t>
            </w:r>
          </w:p>
        </w:tc>
        <w:tc>
          <w:tcPr>
            <w:tcW w:w="1201" w:type="dxa"/>
          </w:tcPr>
          <w:p w:rsidR="0031076A" w:rsidRDefault="00935374">
            <w:pPr>
              <w:pStyle w:val="TableParagraph"/>
              <w:spacing w:line="243" w:lineRule="exact"/>
              <w:ind w:left="13" w:right="16"/>
              <w:jc w:val="center"/>
              <w:rPr>
                <w:sz w:val="20"/>
              </w:rPr>
            </w:pPr>
            <w:r>
              <w:rPr>
                <w:sz w:val="20"/>
              </w:rPr>
              <w:t>(0.0037)</w:t>
            </w:r>
          </w:p>
        </w:tc>
      </w:tr>
      <w:tr w:rsidR="0031076A">
        <w:trPr>
          <w:trHeight w:hRule="exact" w:val="283"/>
        </w:trPr>
        <w:tc>
          <w:tcPr>
            <w:tcW w:w="3377" w:type="dxa"/>
          </w:tcPr>
          <w:p w:rsidR="0031076A" w:rsidRDefault="00935374">
            <w:pPr>
              <w:pStyle w:val="TableParagraph"/>
              <w:spacing w:before="23" w:line="240" w:lineRule="auto"/>
              <w:ind w:left="33"/>
              <w:rPr>
                <w:b/>
                <w:i/>
                <w:sz w:val="20"/>
              </w:rPr>
            </w:pPr>
            <w:r>
              <w:rPr>
                <w:b/>
                <w:i/>
                <w:sz w:val="20"/>
              </w:rPr>
              <w:t>Ethnicity (Omitted: Non-Hispanic)</w:t>
            </w:r>
          </w:p>
        </w:tc>
        <w:tc>
          <w:tcPr>
            <w:tcW w:w="1200" w:type="dxa"/>
          </w:tcPr>
          <w:p w:rsidR="0031076A" w:rsidRDefault="0031076A"/>
        </w:tc>
        <w:tc>
          <w:tcPr>
            <w:tcW w:w="1200" w:type="dxa"/>
          </w:tcPr>
          <w:p w:rsidR="0031076A" w:rsidRDefault="0031076A"/>
        </w:tc>
        <w:tc>
          <w:tcPr>
            <w:tcW w:w="1200" w:type="dxa"/>
          </w:tcPr>
          <w:p w:rsidR="0031076A" w:rsidRDefault="0031076A"/>
        </w:tc>
        <w:tc>
          <w:tcPr>
            <w:tcW w:w="1201" w:type="dxa"/>
          </w:tcPr>
          <w:p w:rsidR="0031076A" w:rsidRDefault="0031076A"/>
        </w:tc>
      </w:tr>
      <w:tr w:rsidR="0031076A">
        <w:trPr>
          <w:trHeight w:hRule="exact" w:val="259"/>
        </w:trPr>
        <w:tc>
          <w:tcPr>
            <w:tcW w:w="3377" w:type="dxa"/>
          </w:tcPr>
          <w:p w:rsidR="0031076A" w:rsidRDefault="00935374">
            <w:pPr>
              <w:pStyle w:val="TableParagraph"/>
              <w:spacing w:line="243" w:lineRule="exact"/>
              <w:ind w:left="268"/>
              <w:rPr>
                <w:b/>
                <w:sz w:val="20"/>
              </w:rPr>
            </w:pPr>
            <w:r>
              <w:rPr>
                <w:b/>
                <w:sz w:val="20"/>
              </w:rPr>
              <w:t>Hispanic</w:t>
            </w:r>
          </w:p>
        </w:tc>
        <w:tc>
          <w:tcPr>
            <w:tcW w:w="1200" w:type="dxa"/>
          </w:tcPr>
          <w:p w:rsidR="0031076A" w:rsidRDefault="00935374">
            <w:pPr>
              <w:pStyle w:val="TableParagraph"/>
              <w:spacing w:line="243" w:lineRule="exact"/>
              <w:ind w:left="211"/>
              <w:rPr>
                <w:sz w:val="20"/>
              </w:rPr>
            </w:pPr>
            <w:r>
              <w:rPr>
                <w:sz w:val="20"/>
              </w:rPr>
              <w:t>1.0279**</w:t>
            </w:r>
          </w:p>
        </w:tc>
        <w:tc>
          <w:tcPr>
            <w:tcW w:w="1200" w:type="dxa"/>
          </w:tcPr>
          <w:p w:rsidR="0031076A" w:rsidRDefault="00935374">
            <w:pPr>
              <w:pStyle w:val="TableParagraph"/>
              <w:spacing w:line="243" w:lineRule="exact"/>
              <w:ind w:left="352"/>
              <w:rPr>
                <w:sz w:val="20"/>
              </w:rPr>
            </w:pPr>
            <w:r>
              <w:rPr>
                <w:sz w:val="20"/>
              </w:rPr>
              <w:t>(2.62)</w:t>
            </w:r>
          </w:p>
        </w:tc>
        <w:tc>
          <w:tcPr>
            <w:tcW w:w="1200" w:type="dxa"/>
          </w:tcPr>
          <w:p w:rsidR="0031076A" w:rsidRDefault="00935374">
            <w:pPr>
              <w:pStyle w:val="TableParagraph"/>
              <w:spacing w:line="243" w:lineRule="exact"/>
              <w:ind w:left="93" w:right="95"/>
              <w:jc w:val="center"/>
              <w:rPr>
                <w:sz w:val="20"/>
              </w:rPr>
            </w:pPr>
            <w:r>
              <w:rPr>
                <w:sz w:val="20"/>
              </w:rPr>
              <w:t>0.0181***</w:t>
            </w:r>
          </w:p>
        </w:tc>
        <w:tc>
          <w:tcPr>
            <w:tcW w:w="1201" w:type="dxa"/>
          </w:tcPr>
          <w:p w:rsidR="0031076A" w:rsidRDefault="00935374">
            <w:pPr>
              <w:pStyle w:val="TableParagraph"/>
              <w:spacing w:line="243" w:lineRule="exact"/>
              <w:ind w:left="13" w:right="16"/>
              <w:jc w:val="center"/>
              <w:rPr>
                <w:sz w:val="20"/>
              </w:rPr>
            </w:pPr>
            <w:r>
              <w:rPr>
                <w:sz w:val="20"/>
              </w:rPr>
              <w:t>(0.0020)</w:t>
            </w:r>
          </w:p>
        </w:tc>
      </w:tr>
      <w:tr w:rsidR="0031076A">
        <w:trPr>
          <w:trHeight w:hRule="exact" w:val="259"/>
        </w:trPr>
        <w:tc>
          <w:tcPr>
            <w:tcW w:w="3377" w:type="dxa"/>
          </w:tcPr>
          <w:p w:rsidR="0031076A" w:rsidRDefault="00935374">
            <w:pPr>
              <w:pStyle w:val="TableParagraph"/>
              <w:spacing w:line="243" w:lineRule="exact"/>
              <w:ind w:left="268"/>
              <w:rPr>
                <w:b/>
                <w:sz w:val="20"/>
              </w:rPr>
            </w:pPr>
            <w:r>
              <w:rPr>
                <w:b/>
                <w:sz w:val="20"/>
              </w:rPr>
              <w:t>Ethnicity Missing/NA</w:t>
            </w:r>
          </w:p>
        </w:tc>
        <w:tc>
          <w:tcPr>
            <w:tcW w:w="1200" w:type="dxa"/>
          </w:tcPr>
          <w:p w:rsidR="0031076A" w:rsidRDefault="00935374">
            <w:pPr>
              <w:pStyle w:val="TableParagraph"/>
              <w:spacing w:line="243" w:lineRule="exact"/>
              <w:ind w:left="211"/>
              <w:rPr>
                <w:sz w:val="20"/>
              </w:rPr>
            </w:pPr>
            <w:r>
              <w:rPr>
                <w:sz w:val="20"/>
              </w:rPr>
              <w:t>1.0467***</w:t>
            </w:r>
          </w:p>
        </w:tc>
        <w:tc>
          <w:tcPr>
            <w:tcW w:w="1200" w:type="dxa"/>
          </w:tcPr>
          <w:p w:rsidR="0031076A" w:rsidRDefault="00935374">
            <w:pPr>
              <w:pStyle w:val="TableParagraph"/>
              <w:spacing w:line="243" w:lineRule="exact"/>
              <w:ind w:left="352"/>
              <w:rPr>
                <w:sz w:val="20"/>
              </w:rPr>
            </w:pPr>
            <w:r>
              <w:rPr>
                <w:sz w:val="20"/>
              </w:rPr>
              <w:t>(3.49)</w:t>
            </w:r>
          </w:p>
        </w:tc>
        <w:tc>
          <w:tcPr>
            <w:tcW w:w="1200" w:type="dxa"/>
          </w:tcPr>
          <w:p w:rsidR="0031076A" w:rsidRDefault="00935374">
            <w:pPr>
              <w:pStyle w:val="TableParagraph"/>
              <w:spacing w:line="243" w:lineRule="exact"/>
              <w:ind w:left="90" w:right="95"/>
              <w:jc w:val="center"/>
              <w:rPr>
                <w:sz w:val="20"/>
              </w:rPr>
            </w:pPr>
            <w:r>
              <w:rPr>
                <w:sz w:val="20"/>
              </w:rPr>
              <w:t>0.00421</w:t>
            </w:r>
          </w:p>
        </w:tc>
        <w:tc>
          <w:tcPr>
            <w:tcW w:w="1201" w:type="dxa"/>
          </w:tcPr>
          <w:p w:rsidR="0031076A" w:rsidRDefault="00935374">
            <w:pPr>
              <w:pStyle w:val="TableParagraph"/>
              <w:spacing w:line="243" w:lineRule="exact"/>
              <w:ind w:left="13" w:right="16"/>
              <w:jc w:val="center"/>
              <w:rPr>
                <w:sz w:val="20"/>
              </w:rPr>
            </w:pPr>
            <w:r>
              <w:rPr>
                <w:sz w:val="20"/>
              </w:rPr>
              <w:t>(0.0030)</w:t>
            </w:r>
          </w:p>
        </w:tc>
      </w:tr>
      <w:tr w:rsidR="0031076A">
        <w:trPr>
          <w:trHeight w:hRule="exact" w:val="283"/>
        </w:trPr>
        <w:tc>
          <w:tcPr>
            <w:tcW w:w="3377" w:type="dxa"/>
          </w:tcPr>
          <w:p w:rsidR="0031076A" w:rsidRDefault="00935374">
            <w:pPr>
              <w:pStyle w:val="TableParagraph"/>
              <w:spacing w:before="23" w:line="240" w:lineRule="auto"/>
              <w:ind w:left="33"/>
              <w:rPr>
                <w:b/>
                <w:i/>
                <w:sz w:val="20"/>
              </w:rPr>
            </w:pPr>
            <w:r>
              <w:rPr>
                <w:b/>
                <w:i/>
                <w:sz w:val="20"/>
              </w:rPr>
              <w:t>Education (Omitted: HS Graduates)</w:t>
            </w:r>
          </w:p>
        </w:tc>
        <w:tc>
          <w:tcPr>
            <w:tcW w:w="1200" w:type="dxa"/>
          </w:tcPr>
          <w:p w:rsidR="0031076A" w:rsidRDefault="0031076A"/>
        </w:tc>
        <w:tc>
          <w:tcPr>
            <w:tcW w:w="1200" w:type="dxa"/>
          </w:tcPr>
          <w:p w:rsidR="0031076A" w:rsidRDefault="0031076A"/>
        </w:tc>
        <w:tc>
          <w:tcPr>
            <w:tcW w:w="1200" w:type="dxa"/>
          </w:tcPr>
          <w:p w:rsidR="0031076A" w:rsidRDefault="0031076A"/>
        </w:tc>
        <w:tc>
          <w:tcPr>
            <w:tcW w:w="1201" w:type="dxa"/>
          </w:tcPr>
          <w:p w:rsidR="0031076A" w:rsidRDefault="0031076A"/>
        </w:tc>
      </w:tr>
      <w:tr w:rsidR="0031076A">
        <w:trPr>
          <w:trHeight w:hRule="exact" w:val="259"/>
        </w:trPr>
        <w:tc>
          <w:tcPr>
            <w:tcW w:w="3377" w:type="dxa"/>
          </w:tcPr>
          <w:p w:rsidR="0031076A" w:rsidRDefault="00935374">
            <w:pPr>
              <w:pStyle w:val="TableParagraph"/>
              <w:spacing w:line="243" w:lineRule="exact"/>
              <w:ind w:left="268"/>
              <w:rPr>
                <w:b/>
                <w:sz w:val="20"/>
              </w:rPr>
            </w:pPr>
            <w:r>
              <w:rPr>
                <w:b/>
                <w:sz w:val="20"/>
              </w:rPr>
              <w:t>Below HS</w:t>
            </w:r>
          </w:p>
        </w:tc>
        <w:tc>
          <w:tcPr>
            <w:tcW w:w="1200" w:type="dxa"/>
          </w:tcPr>
          <w:p w:rsidR="0031076A" w:rsidRDefault="00935374">
            <w:pPr>
              <w:pStyle w:val="TableParagraph"/>
              <w:spacing w:line="243" w:lineRule="exact"/>
              <w:ind w:left="211"/>
              <w:rPr>
                <w:sz w:val="20"/>
              </w:rPr>
            </w:pPr>
            <w:r>
              <w:rPr>
                <w:sz w:val="20"/>
              </w:rPr>
              <w:t>0.7077***</w:t>
            </w:r>
          </w:p>
        </w:tc>
        <w:tc>
          <w:tcPr>
            <w:tcW w:w="1200" w:type="dxa"/>
          </w:tcPr>
          <w:p w:rsidR="0031076A" w:rsidRDefault="00935374">
            <w:pPr>
              <w:pStyle w:val="TableParagraph"/>
              <w:spacing w:line="243" w:lineRule="exact"/>
              <w:ind w:left="321"/>
              <w:rPr>
                <w:sz w:val="20"/>
              </w:rPr>
            </w:pPr>
            <w:r>
              <w:rPr>
                <w:sz w:val="20"/>
              </w:rPr>
              <w:t>(-7.41)</w:t>
            </w:r>
          </w:p>
        </w:tc>
        <w:tc>
          <w:tcPr>
            <w:tcW w:w="1200" w:type="dxa"/>
          </w:tcPr>
          <w:p w:rsidR="0031076A" w:rsidRDefault="00935374">
            <w:pPr>
              <w:pStyle w:val="TableParagraph"/>
              <w:spacing w:line="243" w:lineRule="exact"/>
              <w:ind w:left="91" w:right="95"/>
              <w:jc w:val="center"/>
              <w:rPr>
                <w:sz w:val="20"/>
              </w:rPr>
            </w:pPr>
            <w:r>
              <w:rPr>
                <w:sz w:val="20"/>
              </w:rPr>
              <w:t>-0.0803***</w:t>
            </w:r>
          </w:p>
        </w:tc>
        <w:tc>
          <w:tcPr>
            <w:tcW w:w="1201" w:type="dxa"/>
          </w:tcPr>
          <w:p w:rsidR="0031076A" w:rsidRDefault="00935374">
            <w:pPr>
              <w:pStyle w:val="TableParagraph"/>
              <w:spacing w:line="243" w:lineRule="exact"/>
              <w:ind w:left="13" w:right="16"/>
              <w:jc w:val="center"/>
              <w:rPr>
                <w:sz w:val="20"/>
              </w:rPr>
            </w:pPr>
            <w:r>
              <w:rPr>
                <w:sz w:val="20"/>
              </w:rPr>
              <w:t>(0.0070)</w:t>
            </w:r>
          </w:p>
        </w:tc>
      </w:tr>
      <w:tr w:rsidR="0031076A">
        <w:trPr>
          <w:trHeight w:hRule="exact" w:val="259"/>
        </w:trPr>
        <w:tc>
          <w:tcPr>
            <w:tcW w:w="3377" w:type="dxa"/>
          </w:tcPr>
          <w:p w:rsidR="0031076A" w:rsidRDefault="00935374">
            <w:pPr>
              <w:pStyle w:val="TableParagraph"/>
              <w:spacing w:line="243" w:lineRule="exact"/>
              <w:ind w:left="268"/>
              <w:rPr>
                <w:b/>
                <w:sz w:val="20"/>
              </w:rPr>
            </w:pPr>
            <w:r>
              <w:rPr>
                <w:b/>
                <w:sz w:val="20"/>
              </w:rPr>
              <w:t>GED Equivalent</w:t>
            </w:r>
          </w:p>
        </w:tc>
        <w:tc>
          <w:tcPr>
            <w:tcW w:w="1200" w:type="dxa"/>
          </w:tcPr>
          <w:p w:rsidR="0031076A" w:rsidRDefault="00935374">
            <w:pPr>
              <w:pStyle w:val="TableParagraph"/>
              <w:spacing w:line="243" w:lineRule="exact"/>
              <w:ind w:left="211"/>
              <w:rPr>
                <w:sz w:val="20"/>
              </w:rPr>
            </w:pPr>
            <w:r>
              <w:rPr>
                <w:sz w:val="20"/>
              </w:rPr>
              <w:t>0.7843***</w:t>
            </w:r>
          </w:p>
        </w:tc>
        <w:tc>
          <w:tcPr>
            <w:tcW w:w="1200" w:type="dxa"/>
          </w:tcPr>
          <w:p w:rsidR="0031076A" w:rsidRDefault="00935374">
            <w:pPr>
              <w:pStyle w:val="TableParagraph"/>
              <w:spacing w:line="243" w:lineRule="exact"/>
              <w:ind w:left="321"/>
              <w:rPr>
                <w:sz w:val="20"/>
              </w:rPr>
            </w:pPr>
            <w:r>
              <w:rPr>
                <w:sz w:val="20"/>
              </w:rPr>
              <w:t>(-18.4)</w:t>
            </w:r>
          </w:p>
        </w:tc>
        <w:tc>
          <w:tcPr>
            <w:tcW w:w="1200" w:type="dxa"/>
          </w:tcPr>
          <w:p w:rsidR="0031076A" w:rsidRDefault="00935374">
            <w:pPr>
              <w:pStyle w:val="TableParagraph"/>
              <w:spacing w:line="243" w:lineRule="exact"/>
              <w:ind w:left="91" w:right="95"/>
              <w:jc w:val="center"/>
              <w:rPr>
                <w:sz w:val="20"/>
              </w:rPr>
            </w:pPr>
            <w:r>
              <w:rPr>
                <w:sz w:val="20"/>
              </w:rPr>
              <w:t>-0.0565***</w:t>
            </w:r>
          </w:p>
        </w:tc>
        <w:tc>
          <w:tcPr>
            <w:tcW w:w="1201" w:type="dxa"/>
          </w:tcPr>
          <w:p w:rsidR="0031076A" w:rsidRDefault="00935374">
            <w:pPr>
              <w:pStyle w:val="TableParagraph"/>
              <w:spacing w:line="243" w:lineRule="exact"/>
              <w:ind w:left="13" w:right="16"/>
              <w:jc w:val="center"/>
              <w:rPr>
                <w:sz w:val="20"/>
              </w:rPr>
            </w:pPr>
            <w:r>
              <w:rPr>
                <w:sz w:val="20"/>
              </w:rPr>
              <w:t>(0.0022)</w:t>
            </w:r>
          </w:p>
        </w:tc>
      </w:tr>
      <w:tr w:rsidR="0031076A">
        <w:trPr>
          <w:trHeight w:hRule="exact" w:val="259"/>
        </w:trPr>
        <w:tc>
          <w:tcPr>
            <w:tcW w:w="3377" w:type="dxa"/>
          </w:tcPr>
          <w:p w:rsidR="0031076A" w:rsidRDefault="00935374">
            <w:pPr>
              <w:pStyle w:val="TableParagraph"/>
              <w:spacing w:line="243" w:lineRule="exact"/>
              <w:ind w:left="268"/>
              <w:rPr>
                <w:b/>
                <w:sz w:val="20"/>
              </w:rPr>
            </w:pPr>
            <w:r>
              <w:rPr>
                <w:b/>
                <w:sz w:val="20"/>
              </w:rPr>
              <w:t>Some College</w:t>
            </w:r>
          </w:p>
        </w:tc>
        <w:tc>
          <w:tcPr>
            <w:tcW w:w="1200" w:type="dxa"/>
          </w:tcPr>
          <w:p w:rsidR="0031076A" w:rsidRDefault="00935374">
            <w:pPr>
              <w:pStyle w:val="TableParagraph"/>
              <w:spacing w:line="243" w:lineRule="exact"/>
              <w:ind w:left="211"/>
              <w:rPr>
                <w:sz w:val="20"/>
              </w:rPr>
            </w:pPr>
            <w:r>
              <w:rPr>
                <w:sz w:val="20"/>
              </w:rPr>
              <w:t>0.9151***</w:t>
            </w:r>
          </w:p>
        </w:tc>
        <w:tc>
          <w:tcPr>
            <w:tcW w:w="1200" w:type="dxa"/>
          </w:tcPr>
          <w:p w:rsidR="0031076A" w:rsidRDefault="00935374">
            <w:pPr>
              <w:pStyle w:val="TableParagraph"/>
              <w:spacing w:line="243" w:lineRule="exact"/>
              <w:ind w:left="371"/>
              <w:rPr>
                <w:sz w:val="20"/>
              </w:rPr>
            </w:pPr>
            <w:r>
              <w:rPr>
                <w:sz w:val="20"/>
              </w:rPr>
              <w:t>(-5.2)</w:t>
            </w:r>
          </w:p>
        </w:tc>
        <w:tc>
          <w:tcPr>
            <w:tcW w:w="1200" w:type="dxa"/>
          </w:tcPr>
          <w:p w:rsidR="0031076A" w:rsidRDefault="00935374">
            <w:pPr>
              <w:pStyle w:val="TableParagraph"/>
              <w:spacing w:line="243" w:lineRule="exact"/>
              <w:ind w:left="91" w:right="95"/>
              <w:jc w:val="center"/>
              <w:rPr>
                <w:sz w:val="20"/>
              </w:rPr>
            </w:pPr>
            <w:r>
              <w:rPr>
                <w:sz w:val="20"/>
              </w:rPr>
              <w:t>-0.0207***</w:t>
            </w:r>
          </w:p>
        </w:tc>
        <w:tc>
          <w:tcPr>
            <w:tcW w:w="1201" w:type="dxa"/>
          </w:tcPr>
          <w:p w:rsidR="0031076A" w:rsidRDefault="00935374">
            <w:pPr>
              <w:pStyle w:val="TableParagraph"/>
              <w:spacing w:line="243" w:lineRule="exact"/>
              <w:ind w:left="13" w:right="16"/>
              <w:jc w:val="center"/>
              <w:rPr>
                <w:sz w:val="20"/>
              </w:rPr>
            </w:pPr>
            <w:r>
              <w:rPr>
                <w:sz w:val="20"/>
              </w:rPr>
              <w:t>(0.0034)</w:t>
            </w:r>
          </w:p>
        </w:tc>
      </w:tr>
      <w:tr w:rsidR="0031076A">
        <w:trPr>
          <w:trHeight w:hRule="exact" w:val="259"/>
        </w:trPr>
        <w:tc>
          <w:tcPr>
            <w:tcW w:w="3377" w:type="dxa"/>
          </w:tcPr>
          <w:p w:rsidR="0031076A" w:rsidRDefault="00935374">
            <w:pPr>
              <w:pStyle w:val="TableParagraph"/>
              <w:spacing w:line="243" w:lineRule="exact"/>
              <w:ind w:left="33"/>
              <w:rPr>
                <w:b/>
                <w:sz w:val="20"/>
              </w:rPr>
            </w:pPr>
            <w:r>
              <w:rPr>
                <w:b/>
                <w:sz w:val="20"/>
              </w:rPr>
              <w:t>AFQTP</w:t>
            </w:r>
          </w:p>
        </w:tc>
        <w:tc>
          <w:tcPr>
            <w:tcW w:w="1200" w:type="dxa"/>
          </w:tcPr>
          <w:p w:rsidR="0031076A" w:rsidRDefault="00935374">
            <w:pPr>
              <w:pStyle w:val="TableParagraph"/>
              <w:spacing w:line="243" w:lineRule="exact"/>
              <w:ind w:left="211"/>
              <w:rPr>
                <w:sz w:val="20"/>
              </w:rPr>
            </w:pPr>
            <w:r>
              <w:rPr>
                <w:sz w:val="20"/>
              </w:rPr>
              <w:t>1.0183***</w:t>
            </w:r>
          </w:p>
        </w:tc>
        <w:tc>
          <w:tcPr>
            <w:tcW w:w="1200" w:type="dxa"/>
          </w:tcPr>
          <w:p w:rsidR="0031076A" w:rsidRDefault="00935374">
            <w:pPr>
              <w:pStyle w:val="TableParagraph"/>
              <w:spacing w:line="243" w:lineRule="exact"/>
              <w:ind w:left="302"/>
              <w:rPr>
                <w:sz w:val="20"/>
              </w:rPr>
            </w:pPr>
            <w:r>
              <w:rPr>
                <w:sz w:val="20"/>
              </w:rPr>
              <w:t>(95.15)</w:t>
            </w:r>
          </w:p>
        </w:tc>
        <w:tc>
          <w:tcPr>
            <w:tcW w:w="1200" w:type="dxa"/>
          </w:tcPr>
          <w:p w:rsidR="0031076A" w:rsidRDefault="00935374">
            <w:pPr>
              <w:pStyle w:val="TableParagraph"/>
              <w:spacing w:line="243" w:lineRule="exact"/>
              <w:ind w:left="93" w:right="95"/>
              <w:jc w:val="center"/>
              <w:rPr>
                <w:sz w:val="20"/>
              </w:rPr>
            </w:pPr>
            <w:r>
              <w:rPr>
                <w:sz w:val="20"/>
              </w:rPr>
              <w:t>0.00308***</w:t>
            </w:r>
          </w:p>
        </w:tc>
        <w:tc>
          <w:tcPr>
            <w:tcW w:w="1201" w:type="dxa"/>
          </w:tcPr>
          <w:p w:rsidR="0031076A" w:rsidRDefault="00935374">
            <w:pPr>
              <w:pStyle w:val="TableParagraph"/>
              <w:spacing w:line="243" w:lineRule="exact"/>
              <w:ind w:left="13" w:right="16"/>
              <w:jc w:val="center"/>
              <w:rPr>
                <w:sz w:val="20"/>
              </w:rPr>
            </w:pPr>
            <w:r>
              <w:rPr>
                <w:sz w:val="20"/>
              </w:rPr>
              <w:t>(0.0000)</w:t>
            </w:r>
          </w:p>
        </w:tc>
      </w:tr>
      <w:tr w:rsidR="0031076A">
        <w:trPr>
          <w:trHeight w:hRule="exact" w:val="259"/>
        </w:trPr>
        <w:tc>
          <w:tcPr>
            <w:tcW w:w="3377" w:type="dxa"/>
          </w:tcPr>
          <w:p w:rsidR="0031076A" w:rsidRDefault="00935374">
            <w:pPr>
              <w:pStyle w:val="TableParagraph"/>
              <w:spacing w:line="243" w:lineRule="exact"/>
              <w:ind w:left="33"/>
              <w:rPr>
                <w:b/>
                <w:sz w:val="20"/>
              </w:rPr>
            </w:pPr>
            <w:r>
              <w:rPr>
                <w:b/>
                <w:sz w:val="20"/>
              </w:rPr>
              <w:t>Age at Accession</w:t>
            </w:r>
          </w:p>
        </w:tc>
        <w:tc>
          <w:tcPr>
            <w:tcW w:w="1200" w:type="dxa"/>
          </w:tcPr>
          <w:p w:rsidR="0031076A" w:rsidRDefault="00935374">
            <w:pPr>
              <w:pStyle w:val="TableParagraph"/>
              <w:spacing w:line="243" w:lineRule="exact"/>
              <w:ind w:left="211"/>
              <w:rPr>
                <w:sz w:val="20"/>
              </w:rPr>
            </w:pPr>
            <w:r>
              <w:rPr>
                <w:sz w:val="20"/>
              </w:rPr>
              <w:t>1.0328***</w:t>
            </w:r>
          </w:p>
        </w:tc>
        <w:tc>
          <w:tcPr>
            <w:tcW w:w="1200" w:type="dxa"/>
          </w:tcPr>
          <w:p w:rsidR="0031076A" w:rsidRDefault="00935374">
            <w:pPr>
              <w:pStyle w:val="TableParagraph"/>
              <w:spacing w:line="243" w:lineRule="exact"/>
              <w:ind w:left="302"/>
              <w:rPr>
                <w:sz w:val="20"/>
              </w:rPr>
            </w:pPr>
            <w:r>
              <w:rPr>
                <w:sz w:val="20"/>
              </w:rPr>
              <w:t>(25.42)</w:t>
            </w:r>
          </w:p>
        </w:tc>
        <w:tc>
          <w:tcPr>
            <w:tcW w:w="1200" w:type="dxa"/>
          </w:tcPr>
          <w:p w:rsidR="0031076A" w:rsidRDefault="00935374">
            <w:pPr>
              <w:pStyle w:val="TableParagraph"/>
              <w:spacing w:line="243" w:lineRule="exact"/>
              <w:ind w:left="93" w:right="95"/>
              <w:jc w:val="center"/>
              <w:rPr>
                <w:sz w:val="20"/>
              </w:rPr>
            </w:pPr>
            <w:r>
              <w:rPr>
                <w:sz w:val="20"/>
              </w:rPr>
              <w:t>0.00603***</w:t>
            </w:r>
          </w:p>
        </w:tc>
        <w:tc>
          <w:tcPr>
            <w:tcW w:w="1201" w:type="dxa"/>
          </w:tcPr>
          <w:p w:rsidR="0031076A" w:rsidRDefault="00935374">
            <w:pPr>
              <w:pStyle w:val="TableParagraph"/>
              <w:spacing w:line="243" w:lineRule="exact"/>
              <w:ind w:left="13" w:right="16"/>
              <w:jc w:val="center"/>
              <w:rPr>
                <w:sz w:val="20"/>
              </w:rPr>
            </w:pPr>
            <w:r>
              <w:rPr>
                <w:sz w:val="20"/>
              </w:rPr>
              <w:t>(0.0002)</w:t>
            </w:r>
          </w:p>
        </w:tc>
      </w:tr>
      <w:tr w:rsidR="0031076A">
        <w:trPr>
          <w:trHeight w:hRule="exact" w:val="259"/>
        </w:trPr>
        <w:tc>
          <w:tcPr>
            <w:tcW w:w="3377" w:type="dxa"/>
          </w:tcPr>
          <w:p w:rsidR="0031076A" w:rsidRDefault="00935374">
            <w:pPr>
              <w:pStyle w:val="TableParagraph"/>
              <w:spacing w:line="243" w:lineRule="exact"/>
              <w:ind w:left="33"/>
              <w:rPr>
                <w:b/>
                <w:sz w:val="20"/>
              </w:rPr>
            </w:pPr>
            <w:r>
              <w:rPr>
                <w:b/>
                <w:sz w:val="20"/>
              </w:rPr>
              <w:t>Delayed Entry (Years)</w:t>
            </w:r>
          </w:p>
        </w:tc>
        <w:tc>
          <w:tcPr>
            <w:tcW w:w="1200" w:type="dxa"/>
          </w:tcPr>
          <w:p w:rsidR="0031076A" w:rsidRDefault="00935374">
            <w:pPr>
              <w:pStyle w:val="TableParagraph"/>
              <w:spacing w:line="243" w:lineRule="exact"/>
              <w:ind w:left="211"/>
              <w:rPr>
                <w:sz w:val="20"/>
              </w:rPr>
            </w:pPr>
            <w:r>
              <w:rPr>
                <w:sz w:val="20"/>
              </w:rPr>
              <w:t>1.2115***</w:t>
            </w:r>
          </w:p>
        </w:tc>
        <w:tc>
          <w:tcPr>
            <w:tcW w:w="1200" w:type="dxa"/>
          </w:tcPr>
          <w:p w:rsidR="0031076A" w:rsidRDefault="00935374">
            <w:pPr>
              <w:pStyle w:val="TableParagraph"/>
              <w:spacing w:line="243" w:lineRule="exact"/>
              <w:ind w:left="302"/>
              <w:rPr>
                <w:sz w:val="20"/>
              </w:rPr>
            </w:pPr>
            <w:r>
              <w:rPr>
                <w:sz w:val="20"/>
              </w:rPr>
              <w:t>(33.12)</w:t>
            </w:r>
          </w:p>
        </w:tc>
        <w:tc>
          <w:tcPr>
            <w:tcW w:w="1200" w:type="dxa"/>
          </w:tcPr>
          <w:p w:rsidR="0031076A" w:rsidRDefault="00935374">
            <w:pPr>
              <w:pStyle w:val="TableParagraph"/>
              <w:spacing w:line="243" w:lineRule="exact"/>
              <w:ind w:left="93" w:right="95"/>
              <w:jc w:val="center"/>
              <w:rPr>
                <w:sz w:val="20"/>
              </w:rPr>
            </w:pPr>
            <w:r>
              <w:rPr>
                <w:sz w:val="20"/>
              </w:rPr>
              <w:t>0.0921***</w:t>
            </w:r>
          </w:p>
        </w:tc>
        <w:tc>
          <w:tcPr>
            <w:tcW w:w="1201" w:type="dxa"/>
          </w:tcPr>
          <w:p w:rsidR="0031076A" w:rsidRDefault="00935374">
            <w:pPr>
              <w:pStyle w:val="TableParagraph"/>
              <w:spacing w:line="243" w:lineRule="exact"/>
              <w:ind w:left="13" w:right="16"/>
              <w:jc w:val="center"/>
              <w:rPr>
                <w:sz w:val="20"/>
              </w:rPr>
            </w:pPr>
            <w:r>
              <w:rPr>
                <w:sz w:val="20"/>
              </w:rPr>
              <w:t>(0.0011)</w:t>
            </w:r>
          </w:p>
        </w:tc>
      </w:tr>
      <w:tr w:rsidR="0031076A">
        <w:trPr>
          <w:trHeight w:hRule="exact" w:val="260"/>
        </w:trPr>
        <w:tc>
          <w:tcPr>
            <w:tcW w:w="3377" w:type="dxa"/>
          </w:tcPr>
          <w:p w:rsidR="0031076A" w:rsidRDefault="00935374">
            <w:pPr>
              <w:pStyle w:val="TableParagraph"/>
              <w:spacing w:line="244" w:lineRule="exact"/>
              <w:ind w:left="33"/>
              <w:rPr>
                <w:b/>
                <w:sz w:val="20"/>
              </w:rPr>
            </w:pPr>
            <w:r>
              <w:rPr>
                <w:b/>
                <w:sz w:val="20"/>
              </w:rPr>
              <w:t>Accession Pay Rank</w:t>
            </w:r>
          </w:p>
        </w:tc>
        <w:tc>
          <w:tcPr>
            <w:tcW w:w="1200" w:type="dxa"/>
          </w:tcPr>
          <w:p w:rsidR="0031076A" w:rsidRDefault="00935374">
            <w:pPr>
              <w:pStyle w:val="TableParagraph"/>
              <w:spacing w:line="244" w:lineRule="exact"/>
              <w:ind w:left="211"/>
              <w:rPr>
                <w:sz w:val="20"/>
              </w:rPr>
            </w:pPr>
            <w:r>
              <w:rPr>
                <w:sz w:val="20"/>
              </w:rPr>
              <w:t>1.5487***</w:t>
            </w:r>
          </w:p>
        </w:tc>
        <w:tc>
          <w:tcPr>
            <w:tcW w:w="1200" w:type="dxa"/>
          </w:tcPr>
          <w:p w:rsidR="0031076A" w:rsidRDefault="00935374">
            <w:pPr>
              <w:pStyle w:val="TableParagraph"/>
              <w:spacing w:line="244" w:lineRule="exact"/>
              <w:ind w:left="302"/>
              <w:rPr>
                <w:sz w:val="20"/>
              </w:rPr>
            </w:pPr>
            <w:r>
              <w:rPr>
                <w:sz w:val="20"/>
              </w:rPr>
              <w:t>(96.69)</w:t>
            </w:r>
          </w:p>
        </w:tc>
        <w:tc>
          <w:tcPr>
            <w:tcW w:w="1200" w:type="dxa"/>
          </w:tcPr>
          <w:p w:rsidR="0031076A" w:rsidRDefault="00935374">
            <w:pPr>
              <w:pStyle w:val="TableParagraph"/>
              <w:spacing w:line="244" w:lineRule="exact"/>
              <w:ind w:left="91" w:right="95"/>
              <w:jc w:val="center"/>
              <w:rPr>
                <w:sz w:val="20"/>
              </w:rPr>
            </w:pPr>
            <w:r>
              <w:rPr>
                <w:sz w:val="20"/>
              </w:rPr>
              <w:t>-0.646***</w:t>
            </w:r>
          </w:p>
        </w:tc>
        <w:tc>
          <w:tcPr>
            <w:tcW w:w="1201" w:type="dxa"/>
          </w:tcPr>
          <w:p w:rsidR="0031076A" w:rsidRDefault="00935374">
            <w:pPr>
              <w:pStyle w:val="TableParagraph"/>
              <w:spacing w:line="244" w:lineRule="exact"/>
              <w:ind w:left="13" w:right="16"/>
              <w:jc w:val="center"/>
              <w:rPr>
                <w:sz w:val="20"/>
              </w:rPr>
            </w:pPr>
            <w:r>
              <w:rPr>
                <w:sz w:val="20"/>
              </w:rPr>
              <w:t>(0.0009)</w:t>
            </w:r>
          </w:p>
        </w:tc>
      </w:tr>
      <w:tr w:rsidR="0031076A">
        <w:trPr>
          <w:trHeight w:hRule="exact" w:val="259"/>
        </w:trPr>
        <w:tc>
          <w:tcPr>
            <w:tcW w:w="3377" w:type="dxa"/>
          </w:tcPr>
          <w:p w:rsidR="0031076A" w:rsidRDefault="00935374">
            <w:pPr>
              <w:pStyle w:val="TableParagraph"/>
              <w:spacing w:line="243" w:lineRule="exact"/>
              <w:ind w:left="33"/>
              <w:rPr>
                <w:b/>
                <w:sz w:val="20"/>
              </w:rPr>
            </w:pPr>
            <w:r>
              <w:rPr>
                <w:b/>
                <w:sz w:val="20"/>
              </w:rPr>
              <w:t>Max Years Served</w:t>
            </w:r>
          </w:p>
        </w:tc>
        <w:tc>
          <w:tcPr>
            <w:tcW w:w="1200" w:type="dxa"/>
          </w:tcPr>
          <w:p w:rsidR="0031076A" w:rsidRDefault="00935374">
            <w:pPr>
              <w:pStyle w:val="TableParagraph"/>
              <w:spacing w:line="243" w:lineRule="exact"/>
              <w:ind w:left="211"/>
              <w:rPr>
                <w:sz w:val="20"/>
              </w:rPr>
            </w:pPr>
            <w:r>
              <w:rPr>
                <w:sz w:val="20"/>
              </w:rPr>
              <w:t>2.8168***</w:t>
            </w:r>
          </w:p>
        </w:tc>
        <w:tc>
          <w:tcPr>
            <w:tcW w:w="1200" w:type="dxa"/>
          </w:tcPr>
          <w:p w:rsidR="0031076A" w:rsidRDefault="00935374">
            <w:pPr>
              <w:pStyle w:val="TableParagraph"/>
              <w:spacing w:line="243" w:lineRule="exact"/>
              <w:ind w:left="251"/>
              <w:rPr>
                <w:sz w:val="20"/>
              </w:rPr>
            </w:pPr>
            <w:r>
              <w:rPr>
                <w:sz w:val="20"/>
              </w:rPr>
              <w:t>(364.12)</w:t>
            </w:r>
          </w:p>
        </w:tc>
        <w:tc>
          <w:tcPr>
            <w:tcW w:w="1200" w:type="dxa"/>
          </w:tcPr>
          <w:p w:rsidR="0031076A" w:rsidRDefault="00935374">
            <w:pPr>
              <w:pStyle w:val="TableParagraph"/>
              <w:spacing w:line="243" w:lineRule="exact"/>
              <w:ind w:left="93" w:right="95"/>
              <w:jc w:val="center"/>
              <w:rPr>
                <w:sz w:val="20"/>
              </w:rPr>
            </w:pPr>
            <w:r>
              <w:rPr>
                <w:sz w:val="20"/>
              </w:rPr>
              <w:t>0.4204***</w:t>
            </w:r>
          </w:p>
        </w:tc>
        <w:tc>
          <w:tcPr>
            <w:tcW w:w="1201" w:type="dxa"/>
          </w:tcPr>
          <w:p w:rsidR="0031076A" w:rsidRDefault="00935374">
            <w:pPr>
              <w:pStyle w:val="TableParagraph"/>
              <w:spacing w:line="243" w:lineRule="exact"/>
              <w:ind w:left="13" w:right="16"/>
              <w:jc w:val="center"/>
              <w:rPr>
                <w:sz w:val="20"/>
              </w:rPr>
            </w:pPr>
            <w:r>
              <w:rPr>
                <w:sz w:val="20"/>
              </w:rPr>
              <w:t>(0.0005)</w:t>
            </w:r>
          </w:p>
        </w:tc>
      </w:tr>
      <w:tr w:rsidR="0031076A">
        <w:trPr>
          <w:trHeight w:hRule="exact" w:val="259"/>
        </w:trPr>
        <w:tc>
          <w:tcPr>
            <w:tcW w:w="3377" w:type="dxa"/>
            <w:tcBorders>
              <w:bottom w:val="single" w:sz="6" w:space="0" w:color="000000"/>
            </w:tcBorders>
          </w:tcPr>
          <w:p w:rsidR="0031076A" w:rsidRDefault="00935374">
            <w:pPr>
              <w:pStyle w:val="TableParagraph"/>
              <w:spacing w:line="243" w:lineRule="exact"/>
              <w:ind w:left="33"/>
              <w:rPr>
                <w:b/>
                <w:sz w:val="20"/>
              </w:rPr>
            </w:pPr>
            <w:r>
              <w:rPr>
                <w:b/>
                <w:sz w:val="20"/>
              </w:rPr>
              <w:t>Early Separation</w:t>
            </w:r>
          </w:p>
        </w:tc>
        <w:tc>
          <w:tcPr>
            <w:tcW w:w="1200" w:type="dxa"/>
            <w:tcBorders>
              <w:bottom w:val="single" w:sz="6" w:space="0" w:color="000000"/>
            </w:tcBorders>
          </w:tcPr>
          <w:p w:rsidR="0031076A" w:rsidRDefault="00935374">
            <w:pPr>
              <w:pStyle w:val="TableParagraph"/>
              <w:spacing w:line="243" w:lineRule="exact"/>
              <w:ind w:left="211"/>
              <w:rPr>
                <w:sz w:val="20"/>
              </w:rPr>
            </w:pPr>
            <w:r>
              <w:rPr>
                <w:sz w:val="20"/>
              </w:rPr>
              <w:t>0.6331***</w:t>
            </w:r>
          </w:p>
        </w:tc>
        <w:tc>
          <w:tcPr>
            <w:tcW w:w="1200" w:type="dxa"/>
            <w:tcBorders>
              <w:bottom w:val="single" w:sz="6" w:space="0" w:color="000000"/>
            </w:tcBorders>
          </w:tcPr>
          <w:p w:rsidR="0031076A" w:rsidRDefault="00935374">
            <w:pPr>
              <w:pStyle w:val="TableParagraph"/>
              <w:spacing w:line="243" w:lineRule="exact"/>
              <w:ind w:left="136" w:right="138"/>
              <w:jc w:val="center"/>
              <w:rPr>
                <w:sz w:val="20"/>
              </w:rPr>
            </w:pPr>
            <w:r>
              <w:rPr>
                <w:sz w:val="20"/>
              </w:rPr>
              <w:t>(-42)</w:t>
            </w:r>
          </w:p>
        </w:tc>
        <w:tc>
          <w:tcPr>
            <w:tcW w:w="1200" w:type="dxa"/>
            <w:tcBorders>
              <w:bottom w:val="single" w:sz="6" w:space="0" w:color="000000"/>
            </w:tcBorders>
          </w:tcPr>
          <w:p w:rsidR="0031076A" w:rsidRDefault="00935374">
            <w:pPr>
              <w:pStyle w:val="TableParagraph"/>
              <w:spacing w:line="243" w:lineRule="exact"/>
              <w:ind w:left="91" w:right="95"/>
              <w:jc w:val="center"/>
              <w:rPr>
                <w:sz w:val="20"/>
              </w:rPr>
            </w:pPr>
            <w:r>
              <w:rPr>
                <w:sz w:val="20"/>
              </w:rPr>
              <w:t>-0.3321***</w:t>
            </w:r>
          </w:p>
        </w:tc>
        <w:tc>
          <w:tcPr>
            <w:tcW w:w="1201" w:type="dxa"/>
            <w:tcBorders>
              <w:bottom w:val="single" w:sz="6" w:space="0" w:color="000000"/>
            </w:tcBorders>
          </w:tcPr>
          <w:p w:rsidR="0031076A" w:rsidRDefault="00935374">
            <w:pPr>
              <w:pStyle w:val="TableParagraph"/>
              <w:spacing w:line="243" w:lineRule="exact"/>
              <w:ind w:left="13" w:right="16"/>
              <w:jc w:val="center"/>
              <w:rPr>
                <w:sz w:val="20"/>
              </w:rPr>
            </w:pPr>
            <w:r>
              <w:rPr>
                <w:sz w:val="20"/>
              </w:rPr>
              <w:t>(0.0019)</w:t>
            </w:r>
          </w:p>
        </w:tc>
      </w:tr>
      <w:tr w:rsidR="0031076A">
        <w:trPr>
          <w:trHeight w:hRule="exact" w:val="290"/>
        </w:trPr>
        <w:tc>
          <w:tcPr>
            <w:tcW w:w="3377" w:type="dxa"/>
            <w:tcBorders>
              <w:top w:val="single" w:sz="6" w:space="0" w:color="000000"/>
              <w:bottom w:val="single" w:sz="12" w:space="0" w:color="000000"/>
            </w:tcBorders>
          </w:tcPr>
          <w:p w:rsidR="0031076A" w:rsidRDefault="00935374">
            <w:pPr>
              <w:pStyle w:val="TableParagraph"/>
              <w:spacing w:before="23" w:line="240" w:lineRule="auto"/>
              <w:ind w:left="33"/>
              <w:rPr>
                <w:b/>
                <w:sz w:val="20"/>
              </w:rPr>
            </w:pPr>
            <w:r>
              <w:rPr>
                <w:b/>
                <w:sz w:val="20"/>
              </w:rPr>
              <w:t>Constant</w:t>
            </w:r>
          </w:p>
        </w:tc>
        <w:tc>
          <w:tcPr>
            <w:tcW w:w="1200" w:type="dxa"/>
            <w:tcBorders>
              <w:top w:val="single" w:sz="6" w:space="0" w:color="000000"/>
              <w:bottom w:val="single" w:sz="12" w:space="0" w:color="000000"/>
            </w:tcBorders>
          </w:tcPr>
          <w:p w:rsidR="0031076A" w:rsidRDefault="0031076A"/>
        </w:tc>
        <w:tc>
          <w:tcPr>
            <w:tcW w:w="1200" w:type="dxa"/>
            <w:tcBorders>
              <w:top w:val="single" w:sz="6" w:space="0" w:color="000000"/>
              <w:bottom w:val="single" w:sz="12" w:space="0" w:color="000000"/>
            </w:tcBorders>
          </w:tcPr>
          <w:p w:rsidR="0031076A" w:rsidRDefault="0031076A"/>
        </w:tc>
        <w:tc>
          <w:tcPr>
            <w:tcW w:w="1200" w:type="dxa"/>
            <w:tcBorders>
              <w:top w:val="single" w:sz="6" w:space="0" w:color="000000"/>
              <w:bottom w:val="single" w:sz="12" w:space="0" w:color="000000"/>
            </w:tcBorders>
          </w:tcPr>
          <w:p w:rsidR="0031076A" w:rsidRDefault="00935374">
            <w:pPr>
              <w:pStyle w:val="TableParagraph"/>
              <w:spacing w:before="23" w:line="240" w:lineRule="auto"/>
              <w:ind w:left="93" w:right="95"/>
              <w:jc w:val="center"/>
              <w:rPr>
                <w:sz w:val="20"/>
              </w:rPr>
            </w:pPr>
            <w:r>
              <w:rPr>
                <w:sz w:val="20"/>
              </w:rPr>
              <w:t>1.324***</w:t>
            </w:r>
          </w:p>
        </w:tc>
        <w:tc>
          <w:tcPr>
            <w:tcW w:w="1201" w:type="dxa"/>
            <w:tcBorders>
              <w:top w:val="single" w:sz="6" w:space="0" w:color="000000"/>
              <w:bottom w:val="single" w:sz="12" w:space="0" w:color="000000"/>
            </w:tcBorders>
          </w:tcPr>
          <w:p w:rsidR="0031076A" w:rsidRDefault="00935374">
            <w:pPr>
              <w:pStyle w:val="TableParagraph"/>
              <w:spacing w:before="23" w:line="240" w:lineRule="auto"/>
              <w:ind w:left="13" w:right="16"/>
              <w:jc w:val="center"/>
              <w:rPr>
                <w:sz w:val="20"/>
              </w:rPr>
            </w:pPr>
            <w:r>
              <w:rPr>
                <w:sz w:val="20"/>
              </w:rPr>
              <w:t>(0.0065)</w:t>
            </w:r>
          </w:p>
        </w:tc>
      </w:tr>
      <w:tr w:rsidR="0031076A">
        <w:trPr>
          <w:trHeight w:hRule="exact" w:val="293"/>
        </w:trPr>
        <w:tc>
          <w:tcPr>
            <w:tcW w:w="3377" w:type="dxa"/>
            <w:tcBorders>
              <w:top w:val="single" w:sz="12" w:space="0" w:color="000000"/>
            </w:tcBorders>
          </w:tcPr>
          <w:p w:rsidR="0031076A" w:rsidRDefault="0031076A"/>
        </w:tc>
        <w:tc>
          <w:tcPr>
            <w:tcW w:w="1200" w:type="dxa"/>
            <w:tcBorders>
              <w:top w:val="single" w:sz="12" w:space="0" w:color="000000"/>
            </w:tcBorders>
          </w:tcPr>
          <w:p w:rsidR="0031076A" w:rsidRDefault="0031076A"/>
        </w:tc>
        <w:tc>
          <w:tcPr>
            <w:tcW w:w="1200" w:type="dxa"/>
            <w:tcBorders>
              <w:top w:val="single" w:sz="12" w:space="0" w:color="000000"/>
            </w:tcBorders>
          </w:tcPr>
          <w:p w:rsidR="0031076A" w:rsidRDefault="00935374">
            <w:pPr>
              <w:pStyle w:val="TableParagraph"/>
              <w:spacing w:before="25" w:line="240" w:lineRule="auto"/>
              <w:ind w:left="448"/>
              <w:rPr>
                <w:sz w:val="20"/>
              </w:rPr>
            </w:pPr>
            <w:r>
              <w:rPr>
                <w:sz w:val="20"/>
              </w:rPr>
              <w:t>* p&lt;0.05</w:t>
            </w:r>
          </w:p>
        </w:tc>
        <w:tc>
          <w:tcPr>
            <w:tcW w:w="1200" w:type="dxa"/>
            <w:tcBorders>
              <w:top w:val="single" w:sz="12" w:space="0" w:color="000000"/>
            </w:tcBorders>
          </w:tcPr>
          <w:p w:rsidR="0031076A" w:rsidRDefault="00935374">
            <w:pPr>
              <w:pStyle w:val="TableParagraph"/>
              <w:spacing w:before="25" w:line="240" w:lineRule="auto"/>
              <w:ind w:left="93" w:right="95"/>
              <w:jc w:val="center"/>
              <w:rPr>
                <w:sz w:val="20"/>
              </w:rPr>
            </w:pPr>
            <w:r>
              <w:rPr>
                <w:sz w:val="20"/>
              </w:rPr>
              <w:t>** p&lt;0.01</w:t>
            </w:r>
          </w:p>
        </w:tc>
        <w:tc>
          <w:tcPr>
            <w:tcW w:w="1201" w:type="dxa"/>
            <w:tcBorders>
              <w:top w:val="single" w:sz="12" w:space="0" w:color="000000"/>
            </w:tcBorders>
          </w:tcPr>
          <w:p w:rsidR="0031076A" w:rsidRDefault="00935374">
            <w:pPr>
              <w:pStyle w:val="TableParagraph"/>
              <w:spacing w:before="25" w:line="240" w:lineRule="auto"/>
              <w:ind w:left="125" w:right="16"/>
              <w:jc w:val="center"/>
              <w:rPr>
                <w:sz w:val="20"/>
              </w:rPr>
            </w:pPr>
            <w:r>
              <w:rPr>
                <w:sz w:val="20"/>
              </w:rPr>
              <w:t>*** p&lt;0.001</w:t>
            </w:r>
          </w:p>
        </w:tc>
      </w:tr>
    </w:tbl>
    <w:p w:rsidR="0031076A" w:rsidRDefault="0031076A">
      <w:pPr>
        <w:jc w:val="center"/>
        <w:rPr>
          <w:sz w:val="20"/>
        </w:rPr>
        <w:sectPr w:rsidR="0031076A">
          <w:pgSz w:w="12240" w:h="15840"/>
          <w:pgMar w:top="1500" w:right="1720" w:bottom="280" w:left="1280" w:header="720" w:footer="720" w:gutter="0"/>
          <w:cols w:space="720"/>
        </w:sectPr>
      </w:pPr>
    </w:p>
    <w:p w:rsidR="0031076A" w:rsidRDefault="0031076A">
      <w:pPr>
        <w:pStyle w:val="BodyText"/>
        <w:rPr>
          <w:rFonts w:ascii="Times New Roman"/>
          <w:sz w:val="20"/>
        </w:rPr>
      </w:pPr>
    </w:p>
    <w:p w:rsidR="0031076A" w:rsidRDefault="0031076A">
      <w:pPr>
        <w:pStyle w:val="BodyText"/>
        <w:rPr>
          <w:rFonts w:ascii="Times New Roman"/>
          <w:sz w:val="17"/>
        </w:rPr>
      </w:pPr>
    </w:p>
    <w:p w:rsidR="0031076A" w:rsidRDefault="00935374">
      <w:pPr>
        <w:spacing w:before="52"/>
        <w:ind w:left="160"/>
        <w:rPr>
          <w:rFonts w:ascii="Calibri"/>
          <w:b/>
          <w:sz w:val="24"/>
        </w:rPr>
      </w:pPr>
      <w:proofErr w:type="gramStart"/>
      <w:r>
        <w:rPr>
          <w:rFonts w:ascii="Calibri"/>
          <w:b/>
          <w:sz w:val="24"/>
        </w:rPr>
        <w:t>Appendix 1.</w:t>
      </w:r>
      <w:proofErr w:type="gramEnd"/>
      <w:r>
        <w:rPr>
          <w:rFonts w:ascii="Calibri"/>
          <w:b/>
          <w:sz w:val="24"/>
        </w:rPr>
        <w:t xml:space="preserve"> Separation Model: Likelihood of Separation and Early Separation by Causes</w:t>
      </w:r>
    </w:p>
    <w:p w:rsidR="0031076A" w:rsidRDefault="0031076A">
      <w:pPr>
        <w:pStyle w:val="BodyText"/>
        <w:rPr>
          <w:rFonts w:ascii="Calibri"/>
          <w:b/>
          <w:sz w:val="22"/>
        </w:rPr>
      </w:pPr>
    </w:p>
    <w:tbl>
      <w:tblPr>
        <w:tblW w:w="0" w:type="auto"/>
        <w:tblInd w:w="112"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1978"/>
        <w:gridCol w:w="1081"/>
        <w:gridCol w:w="792"/>
        <w:gridCol w:w="1080"/>
        <w:gridCol w:w="792"/>
        <w:gridCol w:w="1080"/>
        <w:gridCol w:w="792"/>
        <w:gridCol w:w="1081"/>
        <w:gridCol w:w="792"/>
      </w:tblGrid>
      <w:tr w:rsidR="0031076A">
        <w:trPr>
          <w:trHeight w:hRule="exact" w:val="502"/>
        </w:trPr>
        <w:tc>
          <w:tcPr>
            <w:tcW w:w="1978" w:type="dxa"/>
          </w:tcPr>
          <w:p w:rsidR="0031076A" w:rsidRDefault="0031076A"/>
        </w:tc>
        <w:tc>
          <w:tcPr>
            <w:tcW w:w="1873" w:type="dxa"/>
            <w:gridSpan w:val="2"/>
          </w:tcPr>
          <w:p w:rsidR="0031076A" w:rsidRDefault="00935374">
            <w:pPr>
              <w:pStyle w:val="TableParagraph"/>
              <w:spacing w:line="240" w:lineRule="auto"/>
              <w:ind w:left="475" w:right="375" w:hanging="87"/>
              <w:rPr>
                <w:b/>
                <w:sz w:val="20"/>
              </w:rPr>
            </w:pPr>
            <w:r>
              <w:rPr>
                <w:b/>
                <w:sz w:val="20"/>
              </w:rPr>
              <w:t>Likelihood of Separation</w:t>
            </w:r>
          </w:p>
        </w:tc>
        <w:tc>
          <w:tcPr>
            <w:tcW w:w="5617" w:type="dxa"/>
            <w:gridSpan w:val="6"/>
          </w:tcPr>
          <w:p w:rsidR="0031076A" w:rsidRDefault="00935374">
            <w:pPr>
              <w:pStyle w:val="TableParagraph"/>
              <w:spacing w:line="240" w:lineRule="auto"/>
              <w:ind w:left="1915" w:right="1917" w:firstLine="204"/>
              <w:rPr>
                <w:b/>
                <w:sz w:val="20"/>
              </w:rPr>
            </w:pPr>
            <w:r>
              <w:rPr>
                <w:b/>
                <w:sz w:val="20"/>
              </w:rPr>
              <w:t>Early Separation by Separation</w:t>
            </w:r>
            <w:r>
              <w:rPr>
                <w:b/>
                <w:spacing w:val="-6"/>
                <w:sz w:val="20"/>
              </w:rPr>
              <w:t xml:space="preserve"> </w:t>
            </w:r>
            <w:r>
              <w:rPr>
                <w:b/>
                <w:sz w:val="20"/>
              </w:rPr>
              <w:t>Causes</w:t>
            </w:r>
          </w:p>
        </w:tc>
      </w:tr>
      <w:tr w:rsidR="0031076A">
        <w:trPr>
          <w:trHeight w:hRule="exact" w:val="286"/>
        </w:trPr>
        <w:tc>
          <w:tcPr>
            <w:tcW w:w="1978" w:type="dxa"/>
          </w:tcPr>
          <w:p w:rsidR="0031076A" w:rsidRDefault="0031076A"/>
        </w:tc>
        <w:tc>
          <w:tcPr>
            <w:tcW w:w="1873" w:type="dxa"/>
            <w:gridSpan w:val="2"/>
          </w:tcPr>
          <w:p w:rsidR="0031076A" w:rsidRDefault="00935374">
            <w:pPr>
              <w:pStyle w:val="TableParagraph"/>
              <w:spacing w:before="49" w:line="240" w:lineRule="auto"/>
              <w:ind w:left="359"/>
              <w:rPr>
                <w:b/>
                <w:sz w:val="18"/>
              </w:rPr>
            </w:pPr>
            <w:r>
              <w:rPr>
                <w:b/>
                <w:sz w:val="18"/>
              </w:rPr>
              <w:t>(N = 1,269,232)</w:t>
            </w:r>
          </w:p>
        </w:tc>
        <w:tc>
          <w:tcPr>
            <w:tcW w:w="5617" w:type="dxa"/>
            <w:gridSpan w:val="6"/>
          </w:tcPr>
          <w:p w:rsidR="0031076A" w:rsidRDefault="00935374">
            <w:pPr>
              <w:pStyle w:val="TableParagraph"/>
              <w:spacing w:before="49" w:line="240" w:lineRule="auto"/>
              <w:ind w:left="2282" w:right="2284"/>
              <w:jc w:val="center"/>
              <w:rPr>
                <w:b/>
                <w:sz w:val="18"/>
              </w:rPr>
            </w:pPr>
            <w:r>
              <w:rPr>
                <w:b/>
                <w:sz w:val="18"/>
              </w:rPr>
              <w:t>(N = 380,881)</w:t>
            </w:r>
          </w:p>
        </w:tc>
      </w:tr>
      <w:tr w:rsidR="0031076A">
        <w:trPr>
          <w:trHeight w:hRule="exact" w:val="283"/>
        </w:trPr>
        <w:tc>
          <w:tcPr>
            <w:tcW w:w="1978" w:type="dxa"/>
          </w:tcPr>
          <w:p w:rsidR="0031076A" w:rsidRDefault="0031076A"/>
        </w:tc>
        <w:tc>
          <w:tcPr>
            <w:tcW w:w="1081" w:type="dxa"/>
          </w:tcPr>
          <w:p w:rsidR="0031076A" w:rsidRDefault="0031076A"/>
        </w:tc>
        <w:tc>
          <w:tcPr>
            <w:tcW w:w="792" w:type="dxa"/>
          </w:tcPr>
          <w:p w:rsidR="0031076A" w:rsidRDefault="0031076A"/>
        </w:tc>
        <w:tc>
          <w:tcPr>
            <w:tcW w:w="1872" w:type="dxa"/>
            <w:gridSpan w:val="2"/>
            <w:tcBorders>
              <w:bottom w:val="single" w:sz="6" w:space="0" w:color="000000"/>
            </w:tcBorders>
          </w:tcPr>
          <w:p w:rsidR="0031076A" w:rsidRDefault="00935374">
            <w:pPr>
              <w:pStyle w:val="TableParagraph"/>
              <w:spacing w:before="47" w:line="240" w:lineRule="auto"/>
              <w:ind w:left="251"/>
              <w:rPr>
                <w:b/>
                <w:i/>
                <w:sz w:val="18"/>
              </w:rPr>
            </w:pPr>
            <w:r>
              <w:rPr>
                <w:b/>
                <w:i/>
                <w:sz w:val="18"/>
              </w:rPr>
              <w:t>Poor Performance</w:t>
            </w:r>
          </w:p>
        </w:tc>
        <w:tc>
          <w:tcPr>
            <w:tcW w:w="1872" w:type="dxa"/>
            <w:gridSpan w:val="2"/>
            <w:tcBorders>
              <w:bottom w:val="single" w:sz="6" w:space="0" w:color="000000"/>
            </w:tcBorders>
          </w:tcPr>
          <w:p w:rsidR="0031076A" w:rsidRDefault="00935374">
            <w:pPr>
              <w:pStyle w:val="TableParagraph"/>
              <w:spacing w:before="47" w:line="240" w:lineRule="auto"/>
              <w:ind w:left="658" w:right="661"/>
              <w:jc w:val="center"/>
              <w:rPr>
                <w:b/>
                <w:i/>
                <w:sz w:val="18"/>
              </w:rPr>
            </w:pPr>
            <w:r>
              <w:rPr>
                <w:b/>
                <w:i/>
                <w:sz w:val="18"/>
              </w:rPr>
              <w:t>Health</w:t>
            </w:r>
          </w:p>
        </w:tc>
        <w:tc>
          <w:tcPr>
            <w:tcW w:w="1873" w:type="dxa"/>
            <w:gridSpan w:val="2"/>
            <w:tcBorders>
              <w:bottom w:val="single" w:sz="6" w:space="0" w:color="000000"/>
            </w:tcBorders>
          </w:tcPr>
          <w:p w:rsidR="0031076A" w:rsidRDefault="00935374">
            <w:pPr>
              <w:pStyle w:val="TableParagraph"/>
              <w:spacing w:before="47" w:line="240" w:lineRule="auto"/>
              <w:ind w:left="682" w:right="682"/>
              <w:jc w:val="center"/>
              <w:rPr>
                <w:b/>
                <w:i/>
                <w:sz w:val="18"/>
              </w:rPr>
            </w:pPr>
            <w:r>
              <w:rPr>
                <w:b/>
                <w:i/>
                <w:sz w:val="18"/>
              </w:rPr>
              <w:t>Death</w:t>
            </w:r>
          </w:p>
        </w:tc>
      </w:tr>
      <w:tr w:rsidR="0031076A">
        <w:trPr>
          <w:trHeight w:hRule="exact" w:val="290"/>
        </w:trPr>
        <w:tc>
          <w:tcPr>
            <w:tcW w:w="1978" w:type="dxa"/>
            <w:tcBorders>
              <w:bottom w:val="single" w:sz="12" w:space="0" w:color="000000"/>
            </w:tcBorders>
          </w:tcPr>
          <w:p w:rsidR="0031076A" w:rsidRDefault="0031076A"/>
        </w:tc>
        <w:tc>
          <w:tcPr>
            <w:tcW w:w="1081" w:type="dxa"/>
            <w:tcBorders>
              <w:bottom w:val="single" w:sz="12" w:space="0" w:color="000000"/>
            </w:tcBorders>
          </w:tcPr>
          <w:p w:rsidR="0031076A" w:rsidRDefault="00935374">
            <w:pPr>
              <w:pStyle w:val="TableParagraph"/>
              <w:spacing w:before="47" w:line="240" w:lineRule="auto"/>
              <w:ind w:left="126" w:right="127"/>
              <w:jc w:val="center"/>
              <w:rPr>
                <w:i/>
                <w:sz w:val="18"/>
              </w:rPr>
            </w:pPr>
            <w:r>
              <w:rPr>
                <w:i/>
                <w:sz w:val="18"/>
              </w:rPr>
              <w:t xml:space="preserve">Exp. </w:t>
            </w:r>
            <w:proofErr w:type="spellStart"/>
            <w:r>
              <w:rPr>
                <w:i/>
                <w:sz w:val="18"/>
              </w:rPr>
              <w:t>Coef</w:t>
            </w:r>
            <w:proofErr w:type="spellEnd"/>
            <w:r>
              <w:rPr>
                <w:i/>
                <w:sz w:val="18"/>
              </w:rPr>
              <w:t>.</w:t>
            </w:r>
          </w:p>
        </w:tc>
        <w:tc>
          <w:tcPr>
            <w:tcW w:w="792" w:type="dxa"/>
            <w:tcBorders>
              <w:bottom w:val="single" w:sz="12" w:space="0" w:color="000000"/>
            </w:tcBorders>
          </w:tcPr>
          <w:p w:rsidR="0031076A" w:rsidRDefault="00935374">
            <w:pPr>
              <w:pStyle w:val="TableParagraph"/>
              <w:spacing w:before="47" w:line="240" w:lineRule="auto"/>
              <w:ind w:right="3"/>
              <w:jc w:val="center"/>
              <w:rPr>
                <w:i/>
                <w:sz w:val="18"/>
              </w:rPr>
            </w:pPr>
            <w:r>
              <w:rPr>
                <w:i/>
                <w:sz w:val="18"/>
              </w:rPr>
              <w:t>z</w:t>
            </w:r>
          </w:p>
        </w:tc>
        <w:tc>
          <w:tcPr>
            <w:tcW w:w="1080" w:type="dxa"/>
            <w:tcBorders>
              <w:top w:val="single" w:sz="6" w:space="0" w:color="000000"/>
              <w:bottom w:val="single" w:sz="12" w:space="0" w:color="000000"/>
            </w:tcBorders>
          </w:tcPr>
          <w:p w:rsidR="0031076A" w:rsidRDefault="00935374">
            <w:pPr>
              <w:pStyle w:val="TableParagraph"/>
              <w:spacing w:before="47" w:line="240" w:lineRule="auto"/>
              <w:ind w:left="126" w:right="128"/>
              <w:jc w:val="center"/>
              <w:rPr>
                <w:i/>
                <w:sz w:val="18"/>
              </w:rPr>
            </w:pPr>
            <w:r>
              <w:rPr>
                <w:i/>
                <w:sz w:val="18"/>
              </w:rPr>
              <w:t xml:space="preserve">Exp. </w:t>
            </w:r>
            <w:proofErr w:type="spellStart"/>
            <w:r>
              <w:rPr>
                <w:i/>
                <w:sz w:val="18"/>
              </w:rPr>
              <w:t>Coef</w:t>
            </w:r>
            <w:proofErr w:type="spellEnd"/>
            <w:r>
              <w:rPr>
                <w:i/>
                <w:sz w:val="18"/>
              </w:rPr>
              <w:t>.</w:t>
            </w:r>
          </w:p>
        </w:tc>
        <w:tc>
          <w:tcPr>
            <w:tcW w:w="792" w:type="dxa"/>
            <w:tcBorders>
              <w:top w:val="single" w:sz="6" w:space="0" w:color="000000"/>
              <w:bottom w:val="single" w:sz="12" w:space="0" w:color="000000"/>
            </w:tcBorders>
          </w:tcPr>
          <w:p w:rsidR="0031076A" w:rsidRDefault="00935374">
            <w:pPr>
              <w:pStyle w:val="TableParagraph"/>
              <w:spacing w:before="47" w:line="240" w:lineRule="auto"/>
              <w:ind w:right="3"/>
              <w:jc w:val="center"/>
              <w:rPr>
                <w:i/>
                <w:sz w:val="18"/>
              </w:rPr>
            </w:pPr>
            <w:r>
              <w:rPr>
                <w:i/>
                <w:sz w:val="18"/>
              </w:rPr>
              <w:t>z</w:t>
            </w:r>
          </w:p>
        </w:tc>
        <w:tc>
          <w:tcPr>
            <w:tcW w:w="1080" w:type="dxa"/>
            <w:tcBorders>
              <w:top w:val="single" w:sz="6" w:space="0" w:color="000000"/>
              <w:bottom w:val="single" w:sz="12" w:space="0" w:color="000000"/>
            </w:tcBorders>
          </w:tcPr>
          <w:p w:rsidR="0031076A" w:rsidRDefault="00935374">
            <w:pPr>
              <w:pStyle w:val="TableParagraph"/>
              <w:spacing w:before="47" w:line="240" w:lineRule="auto"/>
              <w:ind w:left="172"/>
              <w:rPr>
                <w:i/>
                <w:sz w:val="18"/>
              </w:rPr>
            </w:pPr>
            <w:r>
              <w:rPr>
                <w:i/>
                <w:sz w:val="18"/>
              </w:rPr>
              <w:t xml:space="preserve">Exp. </w:t>
            </w:r>
            <w:proofErr w:type="spellStart"/>
            <w:r>
              <w:rPr>
                <w:i/>
                <w:sz w:val="18"/>
              </w:rPr>
              <w:t>Coef</w:t>
            </w:r>
            <w:proofErr w:type="spellEnd"/>
            <w:r>
              <w:rPr>
                <w:i/>
                <w:sz w:val="18"/>
              </w:rPr>
              <w:t>.</w:t>
            </w:r>
          </w:p>
        </w:tc>
        <w:tc>
          <w:tcPr>
            <w:tcW w:w="792" w:type="dxa"/>
            <w:tcBorders>
              <w:top w:val="single" w:sz="6" w:space="0" w:color="000000"/>
              <w:bottom w:val="single" w:sz="12" w:space="0" w:color="000000"/>
            </w:tcBorders>
          </w:tcPr>
          <w:p w:rsidR="0031076A" w:rsidRDefault="00935374">
            <w:pPr>
              <w:pStyle w:val="TableParagraph"/>
              <w:spacing w:before="47" w:line="240" w:lineRule="auto"/>
              <w:ind w:right="3"/>
              <w:jc w:val="center"/>
              <w:rPr>
                <w:i/>
                <w:sz w:val="18"/>
              </w:rPr>
            </w:pPr>
            <w:r>
              <w:rPr>
                <w:i/>
                <w:sz w:val="18"/>
              </w:rPr>
              <w:t>z</w:t>
            </w:r>
          </w:p>
        </w:tc>
        <w:tc>
          <w:tcPr>
            <w:tcW w:w="1081" w:type="dxa"/>
            <w:tcBorders>
              <w:top w:val="single" w:sz="6" w:space="0" w:color="000000"/>
              <w:bottom w:val="single" w:sz="12" w:space="0" w:color="000000"/>
            </w:tcBorders>
          </w:tcPr>
          <w:p w:rsidR="0031076A" w:rsidRDefault="00935374">
            <w:pPr>
              <w:pStyle w:val="TableParagraph"/>
              <w:spacing w:before="47" w:line="240" w:lineRule="auto"/>
              <w:ind w:left="126" w:right="126"/>
              <w:jc w:val="center"/>
              <w:rPr>
                <w:i/>
                <w:sz w:val="18"/>
              </w:rPr>
            </w:pPr>
            <w:r>
              <w:rPr>
                <w:i/>
                <w:sz w:val="18"/>
              </w:rPr>
              <w:t xml:space="preserve">Exp. </w:t>
            </w:r>
            <w:proofErr w:type="spellStart"/>
            <w:r>
              <w:rPr>
                <w:i/>
                <w:sz w:val="18"/>
              </w:rPr>
              <w:t>Coef</w:t>
            </w:r>
            <w:proofErr w:type="spellEnd"/>
            <w:r>
              <w:rPr>
                <w:i/>
                <w:sz w:val="18"/>
              </w:rPr>
              <w:t>.</w:t>
            </w:r>
          </w:p>
        </w:tc>
        <w:tc>
          <w:tcPr>
            <w:tcW w:w="792" w:type="dxa"/>
            <w:tcBorders>
              <w:top w:val="single" w:sz="6" w:space="0" w:color="000000"/>
              <w:bottom w:val="single" w:sz="12" w:space="0" w:color="000000"/>
            </w:tcBorders>
          </w:tcPr>
          <w:p w:rsidR="0031076A" w:rsidRDefault="00935374">
            <w:pPr>
              <w:pStyle w:val="TableParagraph"/>
              <w:spacing w:before="47" w:line="240" w:lineRule="auto"/>
              <w:ind w:right="3"/>
              <w:jc w:val="center"/>
              <w:rPr>
                <w:i/>
                <w:sz w:val="18"/>
              </w:rPr>
            </w:pPr>
            <w:r>
              <w:rPr>
                <w:i/>
                <w:sz w:val="18"/>
              </w:rPr>
              <w:t>z</w:t>
            </w:r>
          </w:p>
        </w:tc>
      </w:tr>
      <w:tr w:rsidR="0031076A">
        <w:trPr>
          <w:trHeight w:hRule="exact" w:val="242"/>
        </w:trPr>
        <w:tc>
          <w:tcPr>
            <w:tcW w:w="9467" w:type="dxa"/>
            <w:gridSpan w:val="9"/>
            <w:tcBorders>
              <w:top w:val="single" w:sz="12" w:space="0" w:color="000000"/>
            </w:tcBorders>
          </w:tcPr>
          <w:p w:rsidR="0031076A" w:rsidRDefault="00935374">
            <w:pPr>
              <w:pStyle w:val="TableParagraph"/>
              <w:ind w:left="33"/>
              <w:rPr>
                <w:b/>
                <w:i/>
                <w:sz w:val="18"/>
              </w:rPr>
            </w:pPr>
            <w:r>
              <w:rPr>
                <w:b/>
                <w:i/>
                <w:sz w:val="18"/>
              </w:rPr>
              <w:t>Waiver</w:t>
            </w:r>
          </w:p>
        </w:tc>
      </w:tr>
      <w:tr w:rsidR="0031076A">
        <w:trPr>
          <w:trHeight w:hRule="exact" w:val="235"/>
        </w:trPr>
        <w:tc>
          <w:tcPr>
            <w:tcW w:w="1978" w:type="dxa"/>
          </w:tcPr>
          <w:p w:rsidR="0031076A" w:rsidRDefault="00935374">
            <w:pPr>
              <w:pStyle w:val="TableParagraph"/>
              <w:ind w:left="264"/>
              <w:rPr>
                <w:b/>
                <w:sz w:val="18"/>
              </w:rPr>
            </w:pPr>
            <w:r>
              <w:rPr>
                <w:b/>
                <w:sz w:val="18"/>
              </w:rPr>
              <w:t>Felony</w:t>
            </w:r>
          </w:p>
        </w:tc>
        <w:tc>
          <w:tcPr>
            <w:tcW w:w="1081" w:type="dxa"/>
          </w:tcPr>
          <w:p w:rsidR="0031076A" w:rsidRDefault="00935374">
            <w:pPr>
              <w:pStyle w:val="TableParagraph"/>
              <w:ind w:left="126" w:right="126"/>
              <w:jc w:val="center"/>
              <w:rPr>
                <w:sz w:val="18"/>
              </w:rPr>
            </w:pPr>
            <w:r>
              <w:rPr>
                <w:sz w:val="18"/>
              </w:rPr>
              <w:t>0.9643</w:t>
            </w:r>
          </w:p>
        </w:tc>
        <w:tc>
          <w:tcPr>
            <w:tcW w:w="792" w:type="dxa"/>
          </w:tcPr>
          <w:p w:rsidR="0031076A" w:rsidRDefault="00935374">
            <w:pPr>
              <w:pStyle w:val="TableParagraph"/>
              <w:ind w:left="146"/>
              <w:rPr>
                <w:sz w:val="18"/>
              </w:rPr>
            </w:pPr>
            <w:r>
              <w:rPr>
                <w:sz w:val="18"/>
              </w:rPr>
              <w:t>(-1.18)</w:t>
            </w:r>
          </w:p>
        </w:tc>
        <w:tc>
          <w:tcPr>
            <w:tcW w:w="1080" w:type="dxa"/>
          </w:tcPr>
          <w:p w:rsidR="0031076A" w:rsidRDefault="00935374">
            <w:pPr>
              <w:pStyle w:val="TableParagraph"/>
              <w:ind w:left="126" w:right="126"/>
              <w:jc w:val="center"/>
              <w:rPr>
                <w:sz w:val="18"/>
              </w:rPr>
            </w:pPr>
            <w:r>
              <w:rPr>
                <w:sz w:val="18"/>
              </w:rPr>
              <w:t>1.1011</w:t>
            </w:r>
          </w:p>
        </w:tc>
        <w:tc>
          <w:tcPr>
            <w:tcW w:w="792" w:type="dxa"/>
          </w:tcPr>
          <w:p w:rsidR="0031076A" w:rsidRDefault="00935374">
            <w:pPr>
              <w:pStyle w:val="TableParagraph"/>
              <w:ind w:right="173"/>
              <w:jc w:val="right"/>
              <w:rPr>
                <w:sz w:val="18"/>
              </w:rPr>
            </w:pPr>
            <w:r>
              <w:rPr>
                <w:sz w:val="18"/>
              </w:rPr>
              <w:t>(1.89)</w:t>
            </w:r>
          </w:p>
        </w:tc>
        <w:tc>
          <w:tcPr>
            <w:tcW w:w="1080" w:type="dxa"/>
          </w:tcPr>
          <w:p w:rsidR="0031076A" w:rsidRDefault="00935374">
            <w:pPr>
              <w:pStyle w:val="TableParagraph"/>
              <w:ind w:left="280"/>
              <w:rPr>
                <w:sz w:val="18"/>
              </w:rPr>
            </w:pPr>
            <w:r>
              <w:rPr>
                <w:sz w:val="18"/>
              </w:rPr>
              <w:t>0.9110</w:t>
            </w:r>
          </w:p>
        </w:tc>
        <w:tc>
          <w:tcPr>
            <w:tcW w:w="792" w:type="dxa"/>
          </w:tcPr>
          <w:p w:rsidR="0031076A" w:rsidRDefault="00935374">
            <w:pPr>
              <w:pStyle w:val="TableParagraph"/>
              <w:ind w:left="81" w:right="81"/>
              <w:jc w:val="center"/>
              <w:rPr>
                <w:sz w:val="18"/>
              </w:rPr>
            </w:pPr>
            <w:r>
              <w:rPr>
                <w:sz w:val="18"/>
              </w:rPr>
              <w:t>(-1.63)</w:t>
            </w:r>
          </w:p>
        </w:tc>
        <w:tc>
          <w:tcPr>
            <w:tcW w:w="1081" w:type="dxa"/>
          </w:tcPr>
          <w:p w:rsidR="0031076A" w:rsidRDefault="00935374">
            <w:pPr>
              <w:pStyle w:val="TableParagraph"/>
              <w:ind w:left="125" w:right="128"/>
              <w:jc w:val="center"/>
              <w:rPr>
                <w:sz w:val="18"/>
              </w:rPr>
            </w:pPr>
            <w:r>
              <w:rPr>
                <w:sz w:val="18"/>
              </w:rPr>
              <w:t>1.5172**</w:t>
            </w:r>
          </w:p>
        </w:tc>
        <w:tc>
          <w:tcPr>
            <w:tcW w:w="792" w:type="dxa"/>
          </w:tcPr>
          <w:p w:rsidR="0031076A" w:rsidRDefault="00935374">
            <w:pPr>
              <w:pStyle w:val="TableParagraph"/>
              <w:ind w:right="173"/>
              <w:jc w:val="right"/>
              <w:rPr>
                <w:sz w:val="18"/>
              </w:rPr>
            </w:pPr>
            <w:r>
              <w:rPr>
                <w:sz w:val="18"/>
              </w:rPr>
              <w:t>(2.78)</w:t>
            </w:r>
          </w:p>
        </w:tc>
      </w:tr>
      <w:tr w:rsidR="0031076A">
        <w:trPr>
          <w:trHeight w:hRule="exact" w:val="235"/>
        </w:trPr>
        <w:tc>
          <w:tcPr>
            <w:tcW w:w="1978" w:type="dxa"/>
          </w:tcPr>
          <w:p w:rsidR="0031076A" w:rsidRDefault="00935374">
            <w:pPr>
              <w:pStyle w:val="TableParagraph"/>
              <w:ind w:left="264"/>
              <w:rPr>
                <w:b/>
                <w:sz w:val="18"/>
              </w:rPr>
            </w:pPr>
            <w:r>
              <w:rPr>
                <w:b/>
                <w:sz w:val="18"/>
              </w:rPr>
              <w:t>Misdemeanor</w:t>
            </w:r>
          </w:p>
        </w:tc>
        <w:tc>
          <w:tcPr>
            <w:tcW w:w="1081" w:type="dxa"/>
          </w:tcPr>
          <w:p w:rsidR="0031076A" w:rsidRDefault="00935374">
            <w:pPr>
              <w:pStyle w:val="TableParagraph"/>
              <w:ind w:left="126" w:right="126"/>
              <w:jc w:val="center"/>
              <w:rPr>
                <w:sz w:val="18"/>
              </w:rPr>
            </w:pPr>
            <w:r>
              <w:rPr>
                <w:sz w:val="18"/>
              </w:rPr>
              <w:t>0.9242</w:t>
            </w:r>
          </w:p>
        </w:tc>
        <w:tc>
          <w:tcPr>
            <w:tcW w:w="792" w:type="dxa"/>
          </w:tcPr>
          <w:p w:rsidR="0031076A" w:rsidRDefault="00935374">
            <w:pPr>
              <w:pStyle w:val="TableParagraph"/>
              <w:ind w:left="146"/>
              <w:rPr>
                <w:sz w:val="18"/>
              </w:rPr>
            </w:pPr>
            <w:r>
              <w:rPr>
                <w:sz w:val="18"/>
              </w:rPr>
              <w:t>(-1.33)</w:t>
            </w:r>
          </w:p>
        </w:tc>
        <w:tc>
          <w:tcPr>
            <w:tcW w:w="1080" w:type="dxa"/>
          </w:tcPr>
          <w:p w:rsidR="0031076A" w:rsidRDefault="00935374">
            <w:pPr>
              <w:pStyle w:val="TableParagraph"/>
              <w:ind w:left="126" w:right="128"/>
              <w:jc w:val="center"/>
              <w:rPr>
                <w:sz w:val="18"/>
              </w:rPr>
            </w:pPr>
            <w:r>
              <w:rPr>
                <w:sz w:val="18"/>
              </w:rPr>
              <w:t>1.5634***</w:t>
            </w:r>
          </w:p>
        </w:tc>
        <w:tc>
          <w:tcPr>
            <w:tcW w:w="792" w:type="dxa"/>
          </w:tcPr>
          <w:p w:rsidR="0031076A" w:rsidRDefault="00935374">
            <w:pPr>
              <w:pStyle w:val="TableParagraph"/>
              <w:ind w:right="173"/>
              <w:jc w:val="right"/>
              <w:rPr>
                <w:sz w:val="18"/>
              </w:rPr>
            </w:pPr>
            <w:r>
              <w:rPr>
                <w:sz w:val="18"/>
              </w:rPr>
              <w:t>(3.52)</w:t>
            </w:r>
          </w:p>
        </w:tc>
        <w:tc>
          <w:tcPr>
            <w:tcW w:w="1080" w:type="dxa"/>
          </w:tcPr>
          <w:p w:rsidR="0031076A" w:rsidRDefault="00935374">
            <w:pPr>
              <w:pStyle w:val="TableParagraph"/>
              <w:ind w:left="235"/>
              <w:rPr>
                <w:sz w:val="18"/>
              </w:rPr>
            </w:pPr>
            <w:r>
              <w:rPr>
                <w:sz w:val="18"/>
              </w:rPr>
              <w:t>0.6659*</w:t>
            </w:r>
          </w:p>
        </w:tc>
        <w:tc>
          <w:tcPr>
            <w:tcW w:w="792" w:type="dxa"/>
          </w:tcPr>
          <w:p w:rsidR="0031076A" w:rsidRDefault="00935374">
            <w:pPr>
              <w:pStyle w:val="TableParagraph"/>
              <w:ind w:left="81" w:right="81"/>
              <w:jc w:val="center"/>
              <w:rPr>
                <w:sz w:val="18"/>
              </w:rPr>
            </w:pPr>
            <w:r>
              <w:rPr>
                <w:sz w:val="18"/>
              </w:rPr>
              <w:t>(-2.07)</w:t>
            </w:r>
          </w:p>
        </w:tc>
        <w:tc>
          <w:tcPr>
            <w:tcW w:w="1081" w:type="dxa"/>
          </w:tcPr>
          <w:p w:rsidR="0031076A" w:rsidRDefault="00935374">
            <w:pPr>
              <w:pStyle w:val="TableParagraph"/>
              <w:ind w:left="126" w:right="127"/>
              <w:jc w:val="center"/>
              <w:rPr>
                <w:sz w:val="18"/>
              </w:rPr>
            </w:pPr>
            <w:r>
              <w:rPr>
                <w:sz w:val="18"/>
              </w:rPr>
              <w:t>0.8890</w:t>
            </w:r>
          </w:p>
        </w:tc>
        <w:tc>
          <w:tcPr>
            <w:tcW w:w="792" w:type="dxa"/>
          </w:tcPr>
          <w:p w:rsidR="0031076A" w:rsidRDefault="00935374">
            <w:pPr>
              <w:pStyle w:val="TableParagraph"/>
              <w:ind w:right="144"/>
              <w:jc w:val="right"/>
              <w:rPr>
                <w:sz w:val="18"/>
              </w:rPr>
            </w:pPr>
            <w:r>
              <w:rPr>
                <w:sz w:val="18"/>
              </w:rPr>
              <w:t>(-0.20)</w:t>
            </w:r>
          </w:p>
        </w:tc>
      </w:tr>
      <w:tr w:rsidR="0031076A">
        <w:trPr>
          <w:trHeight w:hRule="exact" w:val="233"/>
        </w:trPr>
        <w:tc>
          <w:tcPr>
            <w:tcW w:w="1978" w:type="dxa"/>
          </w:tcPr>
          <w:p w:rsidR="0031076A" w:rsidRDefault="00935374">
            <w:pPr>
              <w:pStyle w:val="TableParagraph"/>
              <w:ind w:left="264"/>
              <w:rPr>
                <w:b/>
                <w:sz w:val="18"/>
              </w:rPr>
            </w:pPr>
            <w:r>
              <w:rPr>
                <w:b/>
                <w:sz w:val="18"/>
              </w:rPr>
              <w:t>Dependent</w:t>
            </w:r>
          </w:p>
        </w:tc>
        <w:tc>
          <w:tcPr>
            <w:tcW w:w="1081" w:type="dxa"/>
          </w:tcPr>
          <w:p w:rsidR="0031076A" w:rsidRDefault="00935374">
            <w:pPr>
              <w:pStyle w:val="TableParagraph"/>
              <w:ind w:left="124" w:right="128"/>
              <w:jc w:val="center"/>
              <w:rPr>
                <w:sz w:val="18"/>
              </w:rPr>
            </w:pPr>
            <w:r>
              <w:rPr>
                <w:sz w:val="18"/>
              </w:rPr>
              <w:t>0.9282**</w:t>
            </w:r>
          </w:p>
        </w:tc>
        <w:tc>
          <w:tcPr>
            <w:tcW w:w="792" w:type="dxa"/>
          </w:tcPr>
          <w:p w:rsidR="0031076A" w:rsidRDefault="00935374">
            <w:pPr>
              <w:pStyle w:val="TableParagraph"/>
              <w:ind w:left="146"/>
              <w:rPr>
                <w:sz w:val="18"/>
              </w:rPr>
            </w:pPr>
            <w:r>
              <w:rPr>
                <w:sz w:val="18"/>
              </w:rPr>
              <w:t>(-3.06)</w:t>
            </w:r>
          </w:p>
        </w:tc>
        <w:tc>
          <w:tcPr>
            <w:tcW w:w="1080" w:type="dxa"/>
          </w:tcPr>
          <w:p w:rsidR="0031076A" w:rsidRDefault="00935374">
            <w:pPr>
              <w:pStyle w:val="TableParagraph"/>
              <w:ind w:left="126" w:right="126"/>
              <w:jc w:val="center"/>
              <w:rPr>
                <w:sz w:val="18"/>
              </w:rPr>
            </w:pPr>
            <w:r>
              <w:rPr>
                <w:sz w:val="18"/>
              </w:rPr>
              <w:t>0.9370</w:t>
            </w:r>
          </w:p>
        </w:tc>
        <w:tc>
          <w:tcPr>
            <w:tcW w:w="792" w:type="dxa"/>
          </w:tcPr>
          <w:p w:rsidR="0031076A" w:rsidRDefault="00935374">
            <w:pPr>
              <w:pStyle w:val="TableParagraph"/>
              <w:ind w:right="144"/>
              <w:jc w:val="right"/>
              <w:rPr>
                <w:sz w:val="18"/>
              </w:rPr>
            </w:pPr>
            <w:r>
              <w:rPr>
                <w:sz w:val="18"/>
              </w:rPr>
              <w:t>(-1.50)</w:t>
            </w:r>
          </w:p>
        </w:tc>
        <w:tc>
          <w:tcPr>
            <w:tcW w:w="1080" w:type="dxa"/>
          </w:tcPr>
          <w:p w:rsidR="0031076A" w:rsidRDefault="00935374">
            <w:pPr>
              <w:pStyle w:val="TableParagraph"/>
              <w:ind w:left="235"/>
              <w:rPr>
                <w:sz w:val="18"/>
              </w:rPr>
            </w:pPr>
            <w:r>
              <w:rPr>
                <w:sz w:val="18"/>
              </w:rPr>
              <w:t>0.8719*</w:t>
            </w:r>
          </w:p>
        </w:tc>
        <w:tc>
          <w:tcPr>
            <w:tcW w:w="792" w:type="dxa"/>
          </w:tcPr>
          <w:p w:rsidR="0031076A" w:rsidRDefault="00935374">
            <w:pPr>
              <w:pStyle w:val="TableParagraph"/>
              <w:ind w:left="81" w:right="81"/>
              <w:jc w:val="center"/>
              <w:rPr>
                <w:sz w:val="18"/>
              </w:rPr>
            </w:pPr>
            <w:r>
              <w:rPr>
                <w:sz w:val="18"/>
              </w:rPr>
              <w:t>(-2.30)</w:t>
            </w:r>
          </w:p>
        </w:tc>
        <w:tc>
          <w:tcPr>
            <w:tcW w:w="1081" w:type="dxa"/>
          </w:tcPr>
          <w:p w:rsidR="0031076A" w:rsidRDefault="00935374">
            <w:pPr>
              <w:pStyle w:val="TableParagraph"/>
              <w:ind w:left="126" w:right="127"/>
              <w:jc w:val="center"/>
              <w:rPr>
                <w:sz w:val="18"/>
              </w:rPr>
            </w:pPr>
            <w:r>
              <w:rPr>
                <w:sz w:val="18"/>
              </w:rPr>
              <w:t>1.2789</w:t>
            </w:r>
          </w:p>
        </w:tc>
        <w:tc>
          <w:tcPr>
            <w:tcW w:w="792" w:type="dxa"/>
          </w:tcPr>
          <w:p w:rsidR="0031076A" w:rsidRDefault="00935374">
            <w:pPr>
              <w:pStyle w:val="TableParagraph"/>
              <w:ind w:right="173"/>
              <w:jc w:val="right"/>
              <w:rPr>
                <w:sz w:val="18"/>
              </w:rPr>
            </w:pPr>
            <w:r>
              <w:rPr>
                <w:sz w:val="18"/>
              </w:rPr>
              <w:t>(1.32)</w:t>
            </w:r>
          </w:p>
        </w:tc>
      </w:tr>
      <w:tr w:rsidR="0031076A">
        <w:trPr>
          <w:trHeight w:hRule="exact" w:val="236"/>
        </w:trPr>
        <w:tc>
          <w:tcPr>
            <w:tcW w:w="1978" w:type="dxa"/>
          </w:tcPr>
          <w:p w:rsidR="0031076A" w:rsidRDefault="00935374">
            <w:pPr>
              <w:pStyle w:val="TableParagraph"/>
              <w:spacing w:before="2" w:line="240" w:lineRule="auto"/>
              <w:ind w:left="264"/>
              <w:rPr>
                <w:b/>
                <w:sz w:val="18"/>
              </w:rPr>
            </w:pPr>
            <w:r>
              <w:rPr>
                <w:b/>
                <w:sz w:val="18"/>
              </w:rPr>
              <w:t>Medical</w:t>
            </w:r>
          </w:p>
        </w:tc>
        <w:tc>
          <w:tcPr>
            <w:tcW w:w="1081" w:type="dxa"/>
          </w:tcPr>
          <w:p w:rsidR="0031076A" w:rsidRDefault="00935374">
            <w:pPr>
              <w:pStyle w:val="TableParagraph"/>
              <w:spacing w:before="2" w:line="240" w:lineRule="auto"/>
              <w:ind w:left="126" w:right="128"/>
              <w:jc w:val="center"/>
              <w:rPr>
                <w:sz w:val="18"/>
              </w:rPr>
            </w:pPr>
            <w:r>
              <w:rPr>
                <w:sz w:val="18"/>
              </w:rPr>
              <w:t>1.0856***</w:t>
            </w:r>
          </w:p>
        </w:tc>
        <w:tc>
          <w:tcPr>
            <w:tcW w:w="792" w:type="dxa"/>
          </w:tcPr>
          <w:p w:rsidR="0031076A" w:rsidRDefault="00935374">
            <w:pPr>
              <w:pStyle w:val="TableParagraph"/>
              <w:spacing w:before="2" w:line="240" w:lineRule="auto"/>
              <w:ind w:left="172"/>
              <w:rPr>
                <w:sz w:val="18"/>
              </w:rPr>
            </w:pPr>
            <w:r>
              <w:rPr>
                <w:sz w:val="18"/>
              </w:rPr>
              <w:t>(8.49)</w:t>
            </w:r>
          </w:p>
        </w:tc>
        <w:tc>
          <w:tcPr>
            <w:tcW w:w="1080" w:type="dxa"/>
          </w:tcPr>
          <w:p w:rsidR="0031076A" w:rsidRDefault="00935374">
            <w:pPr>
              <w:pStyle w:val="TableParagraph"/>
              <w:spacing w:before="2" w:line="240" w:lineRule="auto"/>
              <w:ind w:left="126" w:right="128"/>
              <w:jc w:val="center"/>
              <w:rPr>
                <w:sz w:val="18"/>
              </w:rPr>
            </w:pPr>
            <w:r>
              <w:rPr>
                <w:sz w:val="18"/>
              </w:rPr>
              <w:t>0.9222***</w:t>
            </w:r>
          </w:p>
        </w:tc>
        <w:tc>
          <w:tcPr>
            <w:tcW w:w="792" w:type="dxa"/>
          </w:tcPr>
          <w:p w:rsidR="0031076A" w:rsidRDefault="00935374">
            <w:pPr>
              <w:pStyle w:val="TableParagraph"/>
              <w:spacing w:before="2" w:line="240" w:lineRule="auto"/>
              <w:ind w:right="144"/>
              <w:jc w:val="right"/>
              <w:rPr>
                <w:sz w:val="18"/>
              </w:rPr>
            </w:pPr>
            <w:r>
              <w:rPr>
                <w:sz w:val="18"/>
              </w:rPr>
              <w:t>(-4.88)</w:t>
            </w:r>
          </w:p>
        </w:tc>
        <w:tc>
          <w:tcPr>
            <w:tcW w:w="1080" w:type="dxa"/>
          </w:tcPr>
          <w:p w:rsidR="0031076A" w:rsidRDefault="00935374">
            <w:pPr>
              <w:pStyle w:val="TableParagraph"/>
              <w:spacing w:before="2" w:line="240" w:lineRule="auto"/>
              <w:ind w:left="146"/>
              <w:rPr>
                <w:sz w:val="18"/>
              </w:rPr>
            </w:pPr>
            <w:r>
              <w:rPr>
                <w:sz w:val="18"/>
              </w:rPr>
              <w:t>1.1579***</w:t>
            </w:r>
          </w:p>
        </w:tc>
        <w:tc>
          <w:tcPr>
            <w:tcW w:w="792" w:type="dxa"/>
          </w:tcPr>
          <w:p w:rsidR="0031076A" w:rsidRDefault="00935374">
            <w:pPr>
              <w:pStyle w:val="TableParagraph"/>
              <w:spacing w:before="2" w:line="240" w:lineRule="auto"/>
              <w:ind w:left="80" w:right="81"/>
              <w:jc w:val="center"/>
              <w:rPr>
                <w:sz w:val="18"/>
              </w:rPr>
            </w:pPr>
            <w:r>
              <w:rPr>
                <w:sz w:val="18"/>
              </w:rPr>
              <w:t>(7.45)</w:t>
            </w:r>
          </w:p>
        </w:tc>
        <w:tc>
          <w:tcPr>
            <w:tcW w:w="1081" w:type="dxa"/>
          </w:tcPr>
          <w:p w:rsidR="0031076A" w:rsidRDefault="00935374">
            <w:pPr>
              <w:pStyle w:val="TableParagraph"/>
              <w:spacing w:before="2" w:line="240" w:lineRule="auto"/>
              <w:ind w:left="126" w:right="127"/>
              <w:jc w:val="center"/>
              <w:rPr>
                <w:sz w:val="18"/>
              </w:rPr>
            </w:pPr>
            <w:r>
              <w:rPr>
                <w:sz w:val="18"/>
              </w:rPr>
              <w:t>0.8608*</w:t>
            </w:r>
          </w:p>
        </w:tc>
        <w:tc>
          <w:tcPr>
            <w:tcW w:w="792" w:type="dxa"/>
          </w:tcPr>
          <w:p w:rsidR="0031076A" w:rsidRDefault="00935374">
            <w:pPr>
              <w:pStyle w:val="TableParagraph"/>
              <w:spacing w:before="2" w:line="240" w:lineRule="auto"/>
              <w:ind w:right="144"/>
              <w:jc w:val="right"/>
              <w:rPr>
                <w:sz w:val="18"/>
              </w:rPr>
            </w:pPr>
            <w:r>
              <w:rPr>
                <w:sz w:val="18"/>
              </w:rPr>
              <w:t>(-2.24)</w:t>
            </w:r>
          </w:p>
        </w:tc>
      </w:tr>
      <w:tr w:rsidR="0031076A">
        <w:trPr>
          <w:trHeight w:hRule="exact" w:val="283"/>
        </w:trPr>
        <w:tc>
          <w:tcPr>
            <w:tcW w:w="1978" w:type="dxa"/>
          </w:tcPr>
          <w:p w:rsidR="0031076A" w:rsidRDefault="00935374">
            <w:pPr>
              <w:pStyle w:val="TableParagraph"/>
              <w:spacing w:before="49" w:line="240" w:lineRule="auto"/>
              <w:ind w:left="33"/>
              <w:rPr>
                <w:b/>
                <w:i/>
                <w:sz w:val="18"/>
              </w:rPr>
            </w:pPr>
            <w:r>
              <w:rPr>
                <w:b/>
                <w:i/>
                <w:sz w:val="18"/>
              </w:rPr>
              <w:t>Period</w:t>
            </w:r>
          </w:p>
        </w:tc>
        <w:tc>
          <w:tcPr>
            <w:tcW w:w="1081" w:type="dxa"/>
          </w:tcPr>
          <w:p w:rsidR="0031076A" w:rsidRDefault="0031076A"/>
        </w:tc>
        <w:tc>
          <w:tcPr>
            <w:tcW w:w="792" w:type="dxa"/>
          </w:tcPr>
          <w:p w:rsidR="0031076A" w:rsidRDefault="0031076A"/>
        </w:tc>
        <w:tc>
          <w:tcPr>
            <w:tcW w:w="1080" w:type="dxa"/>
          </w:tcPr>
          <w:p w:rsidR="0031076A" w:rsidRDefault="0031076A"/>
        </w:tc>
        <w:tc>
          <w:tcPr>
            <w:tcW w:w="792" w:type="dxa"/>
          </w:tcPr>
          <w:p w:rsidR="0031076A" w:rsidRDefault="0031076A"/>
        </w:tc>
        <w:tc>
          <w:tcPr>
            <w:tcW w:w="1080" w:type="dxa"/>
          </w:tcPr>
          <w:p w:rsidR="0031076A" w:rsidRDefault="0031076A"/>
        </w:tc>
        <w:tc>
          <w:tcPr>
            <w:tcW w:w="792" w:type="dxa"/>
          </w:tcPr>
          <w:p w:rsidR="0031076A" w:rsidRDefault="0031076A"/>
        </w:tc>
        <w:tc>
          <w:tcPr>
            <w:tcW w:w="1081" w:type="dxa"/>
          </w:tcPr>
          <w:p w:rsidR="0031076A" w:rsidRDefault="0031076A"/>
        </w:tc>
        <w:tc>
          <w:tcPr>
            <w:tcW w:w="792" w:type="dxa"/>
          </w:tcPr>
          <w:p w:rsidR="0031076A" w:rsidRDefault="0031076A"/>
        </w:tc>
      </w:tr>
      <w:tr w:rsidR="0031076A">
        <w:trPr>
          <w:trHeight w:hRule="exact" w:val="235"/>
        </w:trPr>
        <w:tc>
          <w:tcPr>
            <w:tcW w:w="1978" w:type="dxa"/>
          </w:tcPr>
          <w:p w:rsidR="0031076A" w:rsidRDefault="00935374">
            <w:pPr>
              <w:pStyle w:val="TableParagraph"/>
              <w:spacing w:before="1" w:line="240" w:lineRule="auto"/>
              <w:ind w:left="264"/>
              <w:rPr>
                <w:b/>
                <w:sz w:val="18"/>
              </w:rPr>
            </w:pPr>
            <w:r>
              <w:rPr>
                <w:b/>
                <w:sz w:val="18"/>
              </w:rPr>
              <w:t>Recession</w:t>
            </w:r>
          </w:p>
        </w:tc>
        <w:tc>
          <w:tcPr>
            <w:tcW w:w="1081" w:type="dxa"/>
          </w:tcPr>
          <w:p w:rsidR="0031076A" w:rsidRDefault="00935374">
            <w:pPr>
              <w:pStyle w:val="TableParagraph"/>
              <w:spacing w:before="1" w:line="240" w:lineRule="auto"/>
              <w:ind w:left="126" w:right="128"/>
              <w:jc w:val="center"/>
              <w:rPr>
                <w:sz w:val="18"/>
              </w:rPr>
            </w:pPr>
            <w:r>
              <w:rPr>
                <w:sz w:val="18"/>
              </w:rPr>
              <w:t>0.4507***</w:t>
            </w:r>
          </w:p>
        </w:tc>
        <w:tc>
          <w:tcPr>
            <w:tcW w:w="792" w:type="dxa"/>
          </w:tcPr>
          <w:p w:rsidR="0031076A" w:rsidRDefault="00935374">
            <w:pPr>
              <w:pStyle w:val="TableParagraph"/>
              <w:spacing w:before="1" w:line="240" w:lineRule="auto"/>
              <w:ind w:left="55"/>
              <w:rPr>
                <w:sz w:val="18"/>
              </w:rPr>
            </w:pPr>
            <w:r>
              <w:rPr>
                <w:sz w:val="18"/>
              </w:rPr>
              <w:t>(-141.49)</w:t>
            </w:r>
          </w:p>
        </w:tc>
        <w:tc>
          <w:tcPr>
            <w:tcW w:w="1080" w:type="dxa"/>
          </w:tcPr>
          <w:p w:rsidR="0031076A" w:rsidRDefault="00935374">
            <w:pPr>
              <w:pStyle w:val="TableParagraph"/>
              <w:spacing w:before="1" w:line="240" w:lineRule="auto"/>
              <w:ind w:left="126" w:right="128"/>
              <w:jc w:val="center"/>
              <w:rPr>
                <w:sz w:val="18"/>
              </w:rPr>
            </w:pPr>
            <w:r>
              <w:rPr>
                <w:sz w:val="18"/>
              </w:rPr>
              <w:t>2.0036***</w:t>
            </w:r>
          </w:p>
        </w:tc>
        <w:tc>
          <w:tcPr>
            <w:tcW w:w="792" w:type="dxa"/>
          </w:tcPr>
          <w:p w:rsidR="0031076A" w:rsidRDefault="00935374">
            <w:pPr>
              <w:pStyle w:val="TableParagraph"/>
              <w:spacing w:before="1" w:line="240" w:lineRule="auto"/>
              <w:ind w:right="128"/>
              <w:jc w:val="right"/>
              <w:rPr>
                <w:sz w:val="18"/>
              </w:rPr>
            </w:pPr>
            <w:r>
              <w:rPr>
                <w:sz w:val="18"/>
              </w:rPr>
              <w:t>(57.15)</w:t>
            </w:r>
          </w:p>
        </w:tc>
        <w:tc>
          <w:tcPr>
            <w:tcW w:w="1080" w:type="dxa"/>
          </w:tcPr>
          <w:p w:rsidR="0031076A" w:rsidRDefault="00935374">
            <w:pPr>
              <w:pStyle w:val="TableParagraph"/>
              <w:spacing w:before="1" w:line="240" w:lineRule="auto"/>
              <w:ind w:left="146"/>
              <w:rPr>
                <w:sz w:val="18"/>
              </w:rPr>
            </w:pPr>
            <w:r>
              <w:rPr>
                <w:sz w:val="18"/>
              </w:rPr>
              <w:t>0.4484***</w:t>
            </w:r>
          </w:p>
        </w:tc>
        <w:tc>
          <w:tcPr>
            <w:tcW w:w="792" w:type="dxa"/>
          </w:tcPr>
          <w:p w:rsidR="0031076A" w:rsidRDefault="00935374">
            <w:pPr>
              <w:pStyle w:val="TableParagraph"/>
              <w:spacing w:before="1" w:line="240" w:lineRule="auto"/>
              <w:ind w:left="81" w:right="81"/>
              <w:jc w:val="center"/>
              <w:rPr>
                <w:sz w:val="18"/>
              </w:rPr>
            </w:pPr>
            <w:r>
              <w:rPr>
                <w:sz w:val="18"/>
              </w:rPr>
              <w:t>(-46.52)</w:t>
            </w:r>
          </w:p>
        </w:tc>
        <w:tc>
          <w:tcPr>
            <w:tcW w:w="1081" w:type="dxa"/>
          </w:tcPr>
          <w:p w:rsidR="0031076A" w:rsidRDefault="00935374">
            <w:pPr>
              <w:pStyle w:val="TableParagraph"/>
              <w:spacing w:before="1" w:line="240" w:lineRule="auto"/>
              <w:ind w:left="126" w:right="127"/>
              <w:jc w:val="center"/>
              <w:rPr>
                <w:sz w:val="18"/>
              </w:rPr>
            </w:pPr>
            <w:r>
              <w:rPr>
                <w:sz w:val="18"/>
              </w:rPr>
              <w:t>0.6051***</w:t>
            </w:r>
          </w:p>
        </w:tc>
        <w:tc>
          <w:tcPr>
            <w:tcW w:w="792" w:type="dxa"/>
          </w:tcPr>
          <w:p w:rsidR="0031076A" w:rsidRDefault="00935374">
            <w:pPr>
              <w:pStyle w:val="TableParagraph"/>
              <w:spacing w:before="1" w:line="240" w:lineRule="auto"/>
              <w:ind w:right="144"/>
              <w:jc w:val="right"/>
              <w:rPr>
                <w:sz w:val="18"/>
              </w:rPr>
            </w:pPr>
            <w:r>
              <w:rPr>
                <w:sz w:val="18"/>
              </w:rPr>
              <w:t>(-9.25)</w:t>
            </w:r>
          </w:p>
        </w:tc>
      </w:tr>
      <w:tr w:rsidR="0031076A">
        <w:trPr>
          <w:trHeight w:hRule="exact" w:val="235"/>
        </w:trPr>
        <w:tc>
          <w:tcPr>
            <w:tcW w:w="1978" w:type="dxa"/>
          </w:tcPr>
          <w:p w:rsidR="0031076A" w:rsidRDefault="00935374">
            <w:pPr>
              <w:pStyle w:val="TableParagraph"/>
              <w:ind w:left="264"/>
              <w:rPr>
                <w:b/>
                <w:sz w:val="18"/>
              </w:rPr>
            </w:pPr>
            <w:r>
              <w:rPr>
                <w:b/>
                <w:sz w:val="18"/>
              </w:rPr>
              <w:t>Surge</w:t>
            </w:r>
          </w:p>
        </w:tc>
        <w:tc>
          <w:tcPr>
            <w:tcW w:w="1081" w:type="dxa"/>
          </w:tcPr>
          <w:p w:rsidR="0031076A" w:rsidRDefault="00935374">
            <w:pPr>
              <w:pStyle w:val="TableParagraph"/>
              <w:ind w:left="126" w:right="128"/>
              <w:jc w:val="center"/>
              <w:rPr>
                <w:sz w:val="18"/>
              </w:rPr>
            </w:pPr>
            <w:r>
              <w:rPr>
                <w:sz w:val="18"/>
              </w:rPr>
              <w:t>0.8365***</w:t>
            </w:r>
          </w:p>
        </w:tc>
        <w:tc>
          <w:tcPr>
            <w:tcW w:w="792" w:type="dxa"/>
          </w:tcPr>
          <w:p w:rsidR="0031076A" w:rsidRDefault="00935374">
            <w:pPr>
              <w:pStyle w:val="TableParagraph"/>
              <w:ind w:left="100"/>
              <w:rPr>
                <w:sz w:val="18"/>
              </w:rPr>
            </w:pPr>
            <w:r>
              <w:rPr>
                <w:sz w:val="18"/>
              </w:rPr>
              <w:t>(-33.86)</w:t>
            </w:r>
          </w:p>
        </w:tc>
        <w:tc>
          <w:tcPr>
            <w:tcW w:w="1080" w:type="dxa"/>
          </w:tcPr>
          <w:p w:rsidR="0031076A" w:rsidRDefault="00935374">
            <w:pPr>
              <w:pStyle w:val="TableParagraph"/>
              <w:ind w:left="126" w:right="128"/>
              <w:jc w:val="center"/>
              <w:rPr>
                <w:sz w:val="18"/>
              </w:rPr>
            </w:pPr>
            <w:r>
              <w:rPr>
                <w:sz w:val="18"/>
              </w:rPr>
              <w:t>1.1500***</w:t>
            </w:r>
          </w:p>
        </w:tc>
        <w:tc>
          <w:tcPr>
            <w:tcW w:w="792" w:type="dxa"/>
          </w:tcPr>
          <w:p w:rsidR="0031076A" w:rsidRDefault="00935374">
            <w:pPr>
              <w:pStyle w:val="TableParagraph"/>
              <w:ind w:right="128"/>
              <w:jc w:val="right"/>
              <w:rPr>
                <w:sz w:val="18"/>
              </w:rPr>
            </w:pPr>
            <w:r>
              <w:rPr>
                <w:sz w:val="18"/>
              </w:rPr>
              <w:t>(13.53)</w:t>
            </w:r>
          </w:p>
        </w:tc>
        <w:tc>
          <w:tcPr>
            <w:tcW w:w="1080" w:type="dxa"/>
          </w:tcPr>
          <w:p w:rsidR="0031076A" w:rsidRDefault="00935374">
            <w:pPr>
              <w:pStyle w:val="TableParagraph"/>
              <w:ind w:left="146"/>
              <w:rPr>
                <w:sz w:val="18"/>
              </w:rPr>
            </w:pPr>
            <w:r>
              <w:rPr>
                <w:sz w:val="18"/>
              </w:rPr>
              <w:t>0.9525***</w:t>
            </w:r>
          </w:p>
        </w:tc>
        <w:tc>
          <w:tcPr>
            <w:tcW w:w="792" w:type="dxa"/>
          </w:tcPr>
          <w:p w:rsidR="0031076A" w:rsidRDefault="00935374">
            <w:pPr>
              <w:pStyle w:val="TableParagraph"/>
              <w:ind w:left="81" w:right="81"/>
              <w:jc w:val="center"/>
              <w:rPr>
                <w:sz w:val="18"/>
              </w:rPr>
            </w:pPr>
            <w:r>
              <w:rPr>
                <w:sz w:val="18"/>
              </w:rPr>
              <w:t>(-3.59)</w:t>
            </w:r>
          </w:p>
        </w:tc>
        <w:tc>
          <w:tcPr>
            <w:tcW w:w="1081" w:type="dxa"/>
          </w:tcPr>
          <w:p w:rsidR="0031076A" w:rsidRDefault="00935374">
            <w:pPr>
              <w:pStyle w:val="TableParagraph"/>
              <w:ind w:left="125" w:right="128"/>
              <w:jc w:val="center"/>
              <w:rPr>
                <w:sz w:val="18"/>
              </w:rPr>
            </w:pPr>
            <w:r>
              <w:rPr>
                <w:sz w:val="18"/>
              </w:rPr>
              <w:t>0.8677**</w:t>
            </w:r>
          </w:p>
        </w:tc>
        <w:tc>
          <w:tcPr>
            <w:tcW w:w="792" w:type="dxa"/>
          </w:tcPr>
          <w:p w:rsidR="0031076A" w:rsidRDefault="00935374">
            <w:pPr>
              <w:pStyle w:val="TableParagraph"/>
              <w:ind w:right="144"/>
              <w:jc w:val="right"/>
              <w:rPr>
                <w:sz w:val="18"/>
              </w:rPr>
            </w:pPr>
            <w:r>
              <w:rPr>
                <w:sz w:val="18"/>
              </w:rPr>
              <w:t>(-3.22)</w:t>
            </w:r>
          </w:p>
        </w:tc>
      </w:tr>
      <w:tr w:rsidR="0031076A">
        <w:trPr>
          <w:trHeight w:hRule="exact" w:val="235"/>
        </w:trPr>
        <w:tc>
          <w:tcPr>
            <w:tcW w:w="1978" w:type="dxa"/>
          </w:tcPr>
          <w:p w:rsidR="0031076A" w:rsidRDefault="00935374">
            <w:pPr>
              <w:pStyle w:val="TableParagraph"/>
              <w:ind w:left="264"/>
              <w:rPr>
                <w:b/>
                <w:sz w:val="18"/>
              </w:rPr>
            </w:pPr>
            <w:r>
              <w:rPr>
                <w:b/>
                <w:sz w:val="18"/>
              </w:rPr>
              <w:t>No-War</w:t>
            </w:r>
          </w:p>
        </w:tc>
        <w:tc>
          <w:tcPr>
            <w:tcW w:w="1081" w:type="dxa"/>
          </w:tcPr>
          <w:p w:rsidR="0031076A" w:rsidRDefault="00935374">
            <w:pPr>
              <w:pStyle w:val="TableParagraph"/>
              <w:ind w:left="126" w:right="128"/>
              <w:jc w:val="center"/>
              <w:rPr>
                <w:sz w:val="18"/>
              </w:rPr>
            </w:pPr>
            <w:r>
              <w:rPr>
                <w:sz w:val="18"/>
              </w:rPr>
              <w:t>1.3489***</w:t>
            </w:r>
          </w:p>
        </w:tc>
        <w:tc>
          <w:tcPr>
            <w:tcW w:w="792" w:type="dxa"/>
          </w:tcPr>
          <w:p w:rsidR="0031076A" w:rsidRDefault="00935374">
            <w:pPr>
              <w:pStyle w:val="TableParagraph"/>
              <w:ind w:left="127"/>
              <w:rPr>
                <w:sz w:val="18"/>
              </w:rPr>
            </w:pPr>
            <w:r>
              <w:rPr>
                <w:sz w:val="18"/>
              </w:rPr>
              <w:t>(52.39)</w:t>
            </w:r>
          </w:p>
        </w:tc>
        <w:tc>
          <w:tcPr>
            <w:tcW w:w="1080" w:type="dxa"/>
          </w:tcPr>
          <w:p w:rsidR="0031076A" w:rsidRDefault="00935374">
            <w:pPr>
              <w:pStyle w:val="TableParagraph"/>
              <w:ind w:left="126" w:right="128"/>
              <w:jc w:val="center"/>
              <w:rPr>
                <w:sz w:val="18"/>
              </w:rPr>
            </w:pPr>
            <w:r>
              <w:rPr>
                <w:sz w:val="18"/>
              </w:rPr>
              <w:t>0.8418***</w:t>
            </w:r>
          </w:p>
        </w:tc>
        <w:tc>
          <w:tcPr>
            <w:tcW w:w="792" w:type="dxa"/>
          </w:tcPr>
          <w:p w:rsidR="0031076A" w:rsidRDefault="00935374">
            <w:pPr>
              <w:pStyle w:val="TableParagraph"/>
              <w:ind w:right="99"/>
              <w:jc w:val="right"/>
              <w:rPr>
                <w:sz w:val="18"/>
              </w:rPr>
            </w:pPr>
            <w:r>
              <w:rPr>
                <w:sz w:val="18"/>
              </w:rPr>
              <w:t>(-18.43)</w:t>
            </w:r>
          </w:p>
        </w:tc>
        <w:tc>
          <w:tcPr>
            <w:tcW w:w="1080" w:type="dxa"/>
          </w:tcPr>
          <w:p w:rsidR="0031076A" w:rsidRDefault="00935374">
            <w:pPr>
              <w:pStyle w:val="TableParagraph"/>
              <w:ind w:left="146"/>
              <w:rPr>
                <w:sz w:val="18"/>
              </w:rPr>
            </w:pPr>
            <w:r>
              <w:rPr>
                <w:sz w:val="18"/>
              </w:rPr>
              <w:t>1.0545***</w:t>
            </w:r>
          </w:p>
        </w:tc>
        <w:tc>
          <w:tcPr>
            <w:tcW w:w="792" w:type="dxa"/>
          </w:tcPr>
          <w:p w:rsidR="0031076A" w:rsidRDefault="00935374">
            <w:pPr>
              <w:pStyle w:val="TableParagraph"/>
              <w:ind w:left="80" w:right="81"/>
              <w:jc w:val="center"/>
              <w:rPr>
                <w:sz w:val="18"/>
              </w:rPr>
            </w:pPr>
            <w:r>
              <w:rPr>
                <w:sz w:val="18"/>
              </w:rPr>
              <w:t>(4.40)</w:t>
            </w:r>
          </w:p>
        </w:tc>
        <w:tc>
          <w:tcPr>
            <w:tcW w:w="1081" w:type="dxa"/>
          </w:tcPr>
          <w:p w:rsidR="0031076A" w:rsidRDefault="00935374">
            <w:pPr>
              <w:pStyle w:val="TableParagraph"/>
              <w:ind w:left="126" w:right="127"/>
              <w:jc w:val="center"/>
              <w:rPr>
                <w:sz w:val="18"/>
              </w:rPr>
            </w:pPr>
            <w:r>
              <w:rPr>
                <w:sz w:val="18"/>
              </w:rPr>
              <w:t>0.9133*</w:t>
            </w:r>
          </w:p>
        </w:tc>
        <w:tc>
          <w:tcPr>
            <w:tcW w:w="792" w:type="dxa"/>
          </w:tcPr>
          <w:p w:rsidR="0031076A" w:rsidRDefault="00935374">
            <w:pPr>
              <w:pStyle w:val="TableParagraph"/>
              <w:ind w:right="144"/>
              <w:jc w:val="right"/>
              <w:rPr>
                <w:sz w:val="18"/>
              </w:rPr>
            </w:pPr>
            <w:r>
              <w:rPr>
                <w:sz w:val="18"/>
              </w:rPr>
              <w:t>(-2.28)</w:t>
            </w:r>
          </w:p>
        </w:tc>
      </w:tr>
      <w:tr w:rsidR="0031076A">
        <w:trPr>
          <w:trHeight w:hRule="exact" w:val="235"/>
        </w:trPr>
        <w:tc>
          <w:tcPr>
            <w:tcW w:w="9467" w:type="dxa"/>
            <w:gridSpan w:val="9"/>
          </w:tcPr>
          <w:p w:rsidR="0031076A" w:rsidRDefault="00935374">
            <w:pPr>
              <w:pStyle w:val="TableParagraph"/>
              <w:ind w:left="33"/>
              <w:rPr>
                <w:b/>
                <w:i/>
                <w:sz w:val="18"/>
              </w:rPr>
            </w:pPr>
            <w:r>
              <w:rPr>
                <w:b/>
                <w:i/>
                <w:sz w:val="18"/>
              </w:rPr>
              <w:t>Branch (Omitted: Army)</w:t>
            </w:r>
          </w:p>
        </w:tc>
      </w:tr>
      <w:tr w:rsidR="0031076A">
        <w:trPr>
          <w:trHeight w:hRule="exact" w:val="233"/>
        </w:trPr>
        <w:tc>
          <w:tcPr>
            <w:tcW w:w="1978" w:type="dxa"/>
          </w:tcPr>
          <w:p w:rsidR="0031076A" w:rsidRDefault="00935374">
            <w:pPr>
              <w:pStyle w:val="TableParagraph"/>
              <w:ind w:left="264"/>
              <w:rPr>
                <w:b/>
                <w:sz w:val="18"/>
              </w:rPr>
            </w:pPr>
            <w:r>
              <w:rPr>
                <w:b/>
                <w:sz w:val="18"/>
              </w:rPr>
              <w:t>USAF</w:t>
            </w:r>
          </w:p>
        </w:tc>
        <w:tc>
          <w:tcPr>
            <w:tcW w:w="1081" w:type="dxa"/>
          </w:tcPr>
          <w:p w:rsidR="0031076A" w:rsidRDefault="00935374">
            <w:pPr>
              <w:pStyle w:val="TableParagraph"/>
              <w:ind w:left="126" w:right="128"/>
              <w:jc w:val="center"/>
              <w:rPr>
                <w:sz w:val="18"/>
              </w:rPr>
            </w:pPr>
            <w:r>
              <w:rPr>
                <w:sz w:val="18"/>
              </w:rPr>
              <w:t>0.7748***</w:t>
            </w:r>
          </w:p>
        </w:tc>
        <w:tc>
          <w:tcPr>
            <w:tcW w:w="792" w:type="dxa"/>
          </w:tcPr>
          <w:p w:rsidR="0031076A" w:rsidRDefault="00935374">
            <w:pPr>
              <w:pStyle w:val="TableParagraph"/>
              <w:ind w:left="100"/>
              <w:rPr>
                <w:sz w:val="18"/>
              </w:rPr>
            </w:pPr>
            <w:r>
              <w:rPr>
                <w:sz w:val="18"/>
              </w:rPr>
              <w:t>(-42.26)</w:t>
            </w:r>
          </w:p>
        </w:tc>
        <w:tc>
          <w:tcPr>
            <w:tcW w:w="1080" w:type="dxa"/>
          </w:tcPr>
          <w:p w:rsidR="0031076A" w:rsidRDefault="00935374">
            <w:pPr>
              <w:pStyle w:val="TableParagraph"/>
              <w:ind w:left="126" w:right="128"/>
              <w:jc w:val="center"/>
              <w:rPr>
                <w:sz w:val="18"/>
              </w:rPr>
            </w:pPr>
            <w:r>
              <w:rPr>
                <w:sz w:val="18"/>
              </w:rPr>
              <w:t>1.3779***</w:t>
            </w:r>
          </w:p>
        </w:tc>
        <w:tc>
          <w:tcPr>
            <w:tcW w:w="792" w:type="dxa"/>
          </w:tcPr>
          <w:p w:rsidR="0031076A" w:rsidRDefault="00935374">
            <w:pPr>
              <w:pStyle w:val="TableParagraph"/>
              <w:ind w:right="128"/>
              <w:jc w:val="right"/>
              <w:rPr>
                <w:sz w:val="18"/>
              </w:rPr>
            </w:pPr>
            <w:r>
              <w:rPr>
                <w:sz w:val="18"/>
              </w:rPr>
              <w:t>(30.61)</w:t>
            </w:r>
          </w:p>
        </w:tc>
        <w:tc>
          <w:tcPr>
            <w:tcW w:w="1080" w:type="dxa"/>
          </w:tcPr>
          <w:p w:rsidR="0031076A" w:rsidRDefault="00935374">
            <w:pPr>
              <w:pStyle w:val="TableParagraph"/>
              <w:ind w:left="146"/>
              <w:rPr>
                <w:sz w:val="18"/>
              </w:rPr>
            </w:pPr>
            <w:r>
              <w:rPr>
                <w:sz w:val="18"/>
              </w:rPr>
              <w:t>0.3137***</w:t>
            </w:r>
          </w:p>
        </w:tc>
        <w:tc>
          <w:tcPr>
            <w:tcW w:w="792" w:type="dxa"/>
          </w:tcPr>
          <w:p w:rsidR="0031076A" w:rsidRDefault="00935374">
            <w:pPr>
              <w:pStyle w:val="TableParagraph"/>
              <w:ind w:left="81" w:right="81"/>
              <w:jc w:val="center"/>
              <w:rPr>
                <w:sz w:val="18"/>
              </w:rPr>
            </w:pPr>
            <w:r>
              <w:rPr>
                <w:sz w:val="18"/>
              </w:rPr>
              <w:t>(-76.62)</w:t>
            </w:r>
          </w:p>
        </w:tc>
        <w:tc>
          <w:tcPr>
            <w:tcW w:w="1081" w:type="dxa"/>
          </w:tcPr>
          <w:p w:rsidR="0031076A" w:rsidRDefault="00935374">
            <w:pPr>
              <w:pStyle w:val="TableParagraph"/>
              <w:ind w:left="126" w:right="127"/>
              <w:jc w:val="center"/>
              <w:rPr>
                <w:sz w:val="18"/>
              </w:rPr>
            </w:pPr>
            <w:r>
              <w:rPr>
                <w:sz w:val="18"/>
              </w:rPr>
              <w:t>0.2607***</w:t>
            </w:r>
          </w:p>
        </w:tc>
        <w:tc>
          <w:tcPr>
            <w:tcW w:w="792" w:type="dxa"/>
          </w:tcPr>
          <w:p w:rsidR="0031076A" w:rsidRDefault="00935374">
            <w:pPr>
              <w:pStyle w:val="TableParagraph"/>
              <w:ind w:right="99"/>
              <w:jc w:val="right"/>
              <w:rPr>
                <w:sz w:val="18"/>
              </w:rPr>
            </w:pPr>
            <w:r>
              <w:rPr>
                <w:sz w:val="18"/>
              </w:rPr>
              <w:t>(-21.59)</w:t>
            </w:r>
          </w:p>
        </w:tc>
      </w:tr>
      <w:tr w:rsidR="0031076A">
        <w:trPr>
          <w:trHeight w:hRule="exact" w:val="235"/>
        </w:trPr>
        <w:tc>
          <w:tcPr>
            <w:tcW w:w="1978" w:type="dxa"/>
          </w:tcPr>
          <w:p w:rsidR="0031076A" w:rsidRDefault="00935374">
            <w:pPr>
              <w:pStyle w:val="TableParagraph"/>
              <w:spacing w:before="1" w:line="240" w:lineRule="auto"/>
              <w:ind w:left="264"/>
              <w:rPr>
                <w:b/>
                <w:sz w:val="18"/>
              </w:rPr>
            </w:pPr>
            <w:r>
              <w:rPr>
                <w:b/>
                <w:sz w:val="18"/>
              </w:rPr>
              <w:t>USMC</w:t>
            </w:r>
          </w:p>
        </w:tc>
        <w:tc>
          <w:tcPr>
            <w:tcW w:w="1081" w:type="dxa"/>
          </w:tcPr>
          <w:p w:rsidR="0031076A" w:rsidRDefault="00935374">
            <w:pPr>
              <w:pStyle w:val="TableParagraph"/>
              <w:spacing w:before="1" w:line="240" w:lineRule="auto"/>
              <w:ind w:left="126" w:right="128"/>
              <w:jc w:val="center"/>
              <w:rPr>
                <w:sz w:val="18"/>
              </w:rPr>
            </w:pPr>
            <w:r>
              <w:rPr>
                <w:sz w:val="18"/>
              </w:rPr>
              <w:t>0.6979***</w:t>
            </w:r>
          </w:p>
        </w:tc>
        <w:tc>
          <w:tcPr>
            <w:tcW w:w="792" w:type="dxa"/>
          </w:tcPr>
          <w:p w:rsidR="0031076A" w:rsidRDefault="00935374">
            <w:pPr>
              <w:pStyle w:val="TableParagraph"/>
              <w:spacing w:before="1" w:line="240" w:lineRule="auto"/>
              <w:ind w:left="100"/>
              <w:rPr>
                <w:sz w:val="18"/>
              </w:rPr>
            </w:pPr>
            <w:r>
              <w:rPr>
                <w:sz w:val="18"/>
              </w:rPr>
              <w:t>(-60.20)</w:t>
            </w:r>
          </w:p>
        </w:tc>
        <w:tc>
          <w:tcPr>
            <w:tcW w:w="1080" w:type="dxa"/>
          </w:tcPr>
          <w:p w:rsidR="0031076A" w:rsidRDefault="00935374">
            <w:pPr>
              <w:pStyle w:val="TableParagraph"/>
              <w:spacing w:before="1" w:line="240" w:lineRule="auto"/>
              <w:ind w:left="126" w:right="128"/>
              <w:jc w:val="center"/>
              <w:rPr>
                <w:sz w:val="18"/>
              </w:rPr>
            </w:pPr>
            <w:r>
              <w:rPr>
                <w:sz w:val="18"/>
              </w:rPr>
              <w:t>2.0987***</w:t>
            </w:r>
          </w:p>
        </w:tc>
        <w:tc>
          <w:tcPr>
            <w:tcW w:w="792" w:type="dxa"/>
          </w:tcPr>
          <w:p w:rsidR="0031076A" w:rsidRDefault="00935374">
            <w:pPr>
              <w:pStyle w:val="TableParagraph"/>
              <w:spacing w:before="1" w:line="240" w:lineRule="auto"/>
              <w:ind w:right="128"/>
              <w:jc w:val="right"/>
              <w:rPr>
                <w:sz w:val="18"/>
              </w:rPr>
            </w:pPr>
            <w:r>
              <w:rPr>
                <w:sz w:val="18"/>
              </w:rPr>
              <w:t>(64.26)</w:t>
            </w:r>
          </w:p>
        </w:tc>
        <w:tc>
          <w:tcPr>
            <w:tcW w:w="1080" w:type="dxa"/>
          </w:tcPr>
          <w:p w:rsidR="0031076A" w:rsidRDefault="00935374">
            <w:pPr>
              <w:pStyle w:val="TableParagraph"/>
              <w:spacing w:before="1" w:line="240" w:lineRule="auto"/>
              <w:ind w:left="146"/>
              <w:rPr>
                <w:sz w:val="18"/>
              </w:rPr>
            </w:pPr>
            <w:r>
              <w:rPr>
                <w:sz w:val="18"/>
              </w:rPr>
              <w:t>0.4224***</w:t>
            </w:r>
          </w:p>
        </w:tc>
        <w:tc>
          <w:tcPr>
            <w:tcW w:w="792" w:type="dxa"/>
          </w:tcPr>
          <w:p w:rsidR="0031076A" w:rsidRDefault="00935374">
            <w:pPr>
              <w:pStyle w:val="TableParagraph"/>
              <w:spacing w:before="1" w:line="240" w:lineRule="auto"/>
              <w:ind w:left="81" w:right="81"/>
              <w:jc w:val="center"/>
              <w:rPr>
                <w:sz w:val="18"/>
              </w:rPr>
            </w:pPr>
            <w:r>
              <w:rPr>
                <w:sz w:val="18"/>
              </w:rPr>
              <w:t>(-59.77)</w:t>
            </w:r>
          </w:p>
        </w:tc>
        <w:tc>
          <w:tcPr>
            <w:tcW w:w="1081" w:type="dxa"/>
          </w:tcPr>
          <w:p w:rsidR="0031076A" w:rsidRDefault="00935374">
            <w:pPr>
              <w:pStyle w:val="TableParagraph"/>
              <w:spacing w:before="1" w:line="240" w:lineRule="auto"/>
              <w:ind w:left="126" w:right="127"/>
              <w:jc w:val="center"/>
              <w:rPr>
                <w:sz w:val="18"/>
              </w:rPr>
            </w:pPr>
            <w:r>
              <w:rPr>
                <w:sz w:val="18"/>
              </w:rPr>
              <w:t>1.0016</w:t>
            </w:r>
          </w:p>
        </w:tc>
        <w:tc>
          <w:tcPr>
            <w:tcW w:w="792" w:type="dxa"/>
          </w:tcPr>
          <w:p w:rsidR="0031076A" w:rsidRDefault="00935374">
            <w:pPr>
              <w:pStyle w:val="TableParagraph"/>
              <w:spacing w:before="1" w:line="240" w:lineRule="auto"/>
              <w:ind w:right="144"/>
              <w:jc w:val="right"/>
              <w:rPr>
                <w:sz w:val="18"/>
              </w:rPr>
            </w:pPr>
            <w:r>
              <w:rPr>
                <w:sz w:val="18"/>
              </w:rPr>
              <w:t>(-0.05)</w:t>
            </w:r>
          </w:p>
        </w:tc>
      </w:tr>
      <w:tr w:rsidR="0031076A">
        <w:trPr>
          <w:trHeight w:hRule="exact" w:val="235"/>
        </w:trPr>
        <w:tc>
          <w:tcPr>
            <w:tcW w:w="1978" w:type="dxa"/>
          </w:tcPr>
          <w:p w:rsidR="0031076A" w:rsidRDefault="00935374">
            <w:pPr>
              <w:pStyle w:val="TableParagraph"/>
              <w:ind w:left="264"/>
              <w:rPr>
                <w:b/>
                <w:sz w:val="18"/>
              </w:rPr>
            </w:pPr>
            <w:r>
              <w:rPr>
                <w:b/>
                <w:sz w:val="18"/>
              </w:rPr>
              <w:t>USN</w:t>
            </w:r>
          </w:p>
        </w:tc>
        <w:tc>
          <w:tcPr>
            <w:tcW w:w="1081" w:type="dxa"/>
          </w:tcPr>
          <w:p w:rsidR="0031076A" w:rsidRDefault="00935374">
            <w:pPr>
              <w:pStyle w:val="TableParagraph"/>
              <w:ind w:left="126" w:right="128"/>
              <w:jc w:val="center"/>
              <w:rPr>
                <w:sz w:val="18"/>
              </w:rPr>
            </w:pPr>
            <w:r>
              <w:rPr>
                <w:sz w:val="18"/>
              </w:rPr>
              <w:t>0.9558***</w:t>
            </w:r>
          </w:p>
        </w:tc>
        <w:tc>
          <w:tcPr>
            <w:tcW w:w="792" w:type="dxa"/>
          </w:tcPr>
          <w:p w:rsidR="0031076A" w:rsidRDefault="00935374">
            <w:pPr>
              <w:pStyle w:val="TableParagraph"/>
              <w:ind w:left="146"/>
              <w:rPr>
                <w:sz w:val="18"/>
              </w:rPr>
            </w:pPr>
            <w:r>
              <w:rPr>
                <w:sz w:val="18"/>
              </w:rPr>
              <w:t>(-8.27)</w:t>
            </w:r>
          </w:p>
        </w:tc>
        <w:tc>
          <w:tcPr>
            <w:tcW w:w="1080" w:type="dxa"/>
          </w:tcPr>
          <w:p w:rsidR="0031076A" w:rsidRDefault="00935374">
            <w:pPr>
              <w:pStyle w:val="TableParagraph"/>
              <w:ind w:left="126" w:right="128"/>
              <w:jc w:val="center"/>
              <w:rPr>
                <w:sz w:val="18"/>
              </w:rPr>
            </w:pPr>
            <w:r>
              <w:rPr>
                <w:sz w:val="18"/>
              </w:rPr>
              <w:t>1.3201***</w:t>
            </w:r>
          </w:p>
        </w:tc>
        <w:tc>
          <w:tcPr>
            <w:tcW w:w="792" w:type="dxa"/>
          </w:tcPr>
          <w:p w:rsidR="0031076A" w:rsidRDefault="00935374">
            <w:pPr>
              <w:pStyle w:val="TableParagraph"/>
              <w:ind w:right="128"/>
              <w:jc w:val="right"/>
              <w:rPr>
                <w:sz w:val="18"/>
              </w:rPr>
            </w:pPr>
            <w:r>
              <w:rPr>
                <w:sz w:val="18"/>
              </w:rPr>
              <w:t>(29.42)</w:t>
            </w:r>
          </w:p>
        </w:tc>
        <w:tc>
          <w:tcPr>
            <w:tcW w:w="1080" w:type="dxa"/>
          </w:tcPr>
          <w:p w:rsidR="0031076A" w:rsidRDefault="00935374">
            <w:pPr>
              <w:pStyle w:val="TableParagraph"/>
              <w:ind w:left="146"/>
              <w:rPr>
                <w:sz w:val="18"/>
              </w:rPr>
            </w:pPr>
            <w:r>
              <w:rPr>
                <w:sz w:val="18"/>
              </w:rPr>
              <w:t>0.2649***</w:t>
            </w:r>
          </w:p>
        </w:tc>
        <w:tc>
          <w:tcPr>
            <w:tcW w:w="792" w:type="dxa"/>
          </w:tcPr>
          <w:p w:rsidR="0031076A" w:rsidRDefault="00935374">
            <w:pPr>
              <w:pStyle w:val="TableParagraph"/>
              <w:ind w:left="81" w:right="81"/>
              <w:jc w:val="center"/>
              <w:rPr>
                <w:sz w:val="18"/>
              </w:rPr>
            </w:pPr>
            <w:r>
              <w:rPr>
                <w:sz w:val="18"/>
              </w:rPr>
              <w:t>(-93.34)</w:t>
            </w:r>
          </w:p>
        </w:tc>
        <w:tc>
          <w:tcPr>
            <w:tcW w:w="1081" w:type="dxa"/>
          </w:tcPr>
          <w:p w:rsidR="0031076A" w:rsidRDefault="00935374">
            <w:pPr>
              <w:pStyle w:val="TableParagraph"/>
              <w:ind w:left="126" w:right="127"/>
              <w:jc w:val="center"/>
              <w:rPr>
                <w:sz w:val="18"/>
              </w:rPr>
            </w:pPr>
            <w:r>
              <w:rPr>
                <w:sz w:val="18"/>
              </w:rPr>
              <w:t>0.3229***</w:t>
            </w:r>
          </w:p>
        </w:tc>
        <w:tc>
          <w:tcPr>
            <w:tcW w:w="792" w:type="dxa"/>
          </w:tcPr>
          <w:p w:rsidR="0031076A" w:rsidRDefault="00935374">
            <w:pPr>
              <w:pStyle w:val="TableParagraph"/>
              <w:ind w:right="99"/>
              <w:jc w:val="right"/>
              <w:rPr>
                <w:sz w:val="18"/>
              </w:rPr>
            </w:pPr>
            <w:r>
              <w:rPr>
                <w:sz w:val="18"/>
              </w:rPr>
              <w:t>(-23.22)</w:t>
            </w:r>
          </w:p>
        </w:tc>
      </w:tr>
      <w:tr w:rsidR="0031076A">
        <w:trPr>
          <w:trHeight w:hRule="exact" w:val="235"/>
        </w:trPr>
        <w:tc>
          <w:tcPr>
            <w:tcW w:w="1978" w:type="dxa"/>
          </w:tcPr>
          <w:p w:rsidR="0031076A" w:rsidRDefault="00935374">
            <w:pPr>
              <w:pStyle w:val="TableParagraph"/>
              <w:ind w:left="33"/>
              <w:rPr>
                <w:b/>
                <w:sz w:val="18"/>
              </w:rPr>
            </w:pPr>
            <w:r>
              <w:rPr>
                <w:b/>
                <w:sz w:val="18"/>
              </w:rPr>
              <w:t>Female</w:t>
            </w:r>
          </w:p>
        </w:tc>
        <w:tc>
          <w:tcPr>
            <w:tcW w:w="1081" w:type="dxa"/>
          </w:tcPr>
          <w:p w:rsidR="0031076A" w:rsidRDefault="00935374">
            <w:pPr>
              <w:pStyle w:val="TableParagraph"/>
              <w:ind w:left="126" w:right="128"/>
              <w:jc w:val="center"/>
              <w:rPr>
                <w:sz w:val="18"/>
              </w:rPr>
            </w:pPr>
            <w:r>
              <w:rPr>
                <w:sz w:val="18"/>
              </w:rPr>
              <w:t>1.8512***</w:t>
            </w:r>
          </w:p>
        </w:tc>
        <w:tc>
          <w:tcPr>
            <w:tcW w:w="792" w:type="dxa"/>
          </w:tcPr>
          <w:p w:rsidR="0031076A" w:rsidRDefault="00935374">
            <w:pPr>
              <w:pStyle w:val="TableParagraph"/>
              <w:ind w:left="81"/>
              <w:rPr>
                <w:sz w:val="18"/>
              </w:rPr>
            </w:pPr>
            <w:r>
              <w:rPr>
                <w:sz w:val="18"/>
              </w:rPr>
              <w:t>(118.39)</w:t>
            </w:r>
          </w:p>
        </w:tc>
        <w:tc>
          <w:tcPr>
            <w:tcW w:w="1080" w:type="dxa"/>
          </w:tcPr>
          <w:p w:rsidR="0031076A" w:rsidRDefault="00935374">
            <w:pPr>
              <w:pStyle w:val="TableParagraph"/>
              <w:ind w:left="126" w:right="128"/>
              <w:jc w:val="center"/>
              <w:rPr>
                <w:sz w:val="18"/>
              </w:rPr>
            </w:pPr>
            <w:r>
              <w:rPr>
                <w:sz w:val="18"/>
              </w:rPr>
              <w:t>0.4480***</w:t>
            </w:r>
          </w:p>
        </w:tc>
        <w:tc>
          <w:tcPr>
            <w:tcW w:w="792" w:type="dxa"/>
          </w:tcPr>
          <w:p w:rsidR="0031076A" w:rsidRDefault="00935374">
            <w:pPr>
              <w:pStyle w:val="TableParagraph"/>
              <w:ind w:right="99"/>
              <w:jc w:val="right"/>
              <w:rPr>
                <w:sz w:val="18"/>
              </w:rPr>
            </w:pPr>
            <w:r>
              <w:rPr>
                <w:sz w:val="18"/>
              </w:rPr>
              <w:t>(-97.26)</w:t>
            </w:r>
          </w:p>
        </w:tc>
        <w:tc>
          <w:tcPr>
            <w:tcW w:w="1080" w:type="dxa"/>
          </w:tcPr>
          <w:p w:rsidR="0031076A" w:rsidRDefault="00935374">
            <w:pPr>
              <w:pStyle w:val="TableParagraph"/>
              <w:ind w:left="189"/>
              <w:rPr>
                <w:sz w:val="18"/>
              </w:rPr>
            </w:pPr>
            <w:r>
              <w:rPr>
                <w:sz w:val="18"/>
              </w:rPr>
              <w:t>1.0340**</w:t>
            </w:r>
          </w:p>
        </w:tc>
        <w:tc>
          <w:tcPr>
            <w:tcW w:w="792" w:type="dxa"/>
          </w:tcPr>
          <w:p w:rsidR="0031076A" w:rsidRDefault="00935374">
            <w:pPr>
              <w:pStyle w:val="TableParagraph"/>
              <w:ind w:left="80" w:right="81"/>
              <w:jc w:val="center"/>
              <w:rPr>
                <w:sz w:val="18"/>
              </w:rPr>
            </w:pPr>
            <w:r>
              <w:rPr>
                <w:sz w:val="18"/>
              </w:rPr>
              <w:t>(3.07)</w:t>
            </w:r>
          </w:p>
        </w:tc>
        <w:tc>
          <w:tcPr>
            <w:tcW w:w="1081" w:type="dxa"/>
          </w:tcPr>
          <w:p w:rsidR="0031076A" w:rsidRDefault="00935374">
            <w:pPr>
              <w:pStyle w:val="TableParagraph"/>
              <w:ind w:left="126" w:right="127"/>
              <w:jc w:val="center"/>
              <w:rPr>
                <w:sz w:val="18"/>
              </w:rPr>
            </w:pPr>
            <w:r>
              <w:rPr>
                <w:sz w:val="18"/>
              </w:rPr>
              <w:t>0.1564***</w:t>
            </w:r>
          </w:p>
        </w:tc>
        <w:tc>
          <w:tcPr>
            <w:tcW w:w="792" w:type="dxa"/>
          </w:tcPr>
          <w:p w:rsidR="0031076A" w:rsidRDefault="00935374">
            <w:pPr>
              <w:pStyle w:val="TableParagraph"/>
              <w:ind w:right="99"/>
              <w:jc w:val="right"/>
              <w:rPr>
                <w:sz w:val="18"/>
              </w:rPr>
            </w:pPr>
            <w:r>
              <w:rPr>
                <w:sz w:val="18"/>
              </w:rPr>
              <w:t>(-25.92)</w:t>
            </w:r>
          </w:p>
        </w:tc>
      </w:tr>
      <w:tr w:rsidR="0031076A">
        <w:trPr>
          <w:trHeight w:hRule="exact" w:val="235"/>
        </w:trPr>
        <w:tc>
          <w:tcPr>
            <w:tcW w:w="1978" w:type="dxa"/>
          </w:tcPr>
          <w:p w:rsidR="0031076A" w:rsidRDefault="00935374">
            <w:pPr>
              <w:pStyle w:val="TableParagraph"/>
              <w:ind w:left="33"/>
              <w:rPr>
                <w:b/>
                <w:sz w:val="18"/>
              </w:rPr>
            </w:pPr>
            <w:r>
              <w:rPr>
                <w:b/>
                <w:sz w:val="18"/>
              </w:rPr>
              <w:t>Citizen at Entry</w:t>
            </w:r>
          </w:p>
        </w:tc>
        <w:tc>
          <w:tcPr>
            <w:tcW w:w="1081" w:type="dxa"/>
          </w:tcPr>
          <w:p w:rsidR="0031076A" w:rsidRDefault="00935374">
            <w:pPr>
              <w:pStyle w:val="TableParagraph"/>
              <w:ind w:left="126" w:right="128"/>
              <w:jc w:val="center"/>
              <w:rPr>
                <w:sz w:val="18"/>
              </w:rPr>
            </w:pPr>
            <w:r>
              <w:rPr>
                <w:sz w:val="18"/>
              </w:rPr>
              <w:t>1.5588***</w:t>
            </w:r>
          </w:p>
        </w:tc>
        <w:tc>
          <w:tcPr>
            <w:tcW w:w="792" w:type="dxa"/>
          </w:tcPr>
          <w:p w:rsidR="0031076A" w:rsidRDefault="00935374">
            <w:pPr>
              <w:pStyle w:val="TableParagraph"/>
              <w:ind w:left="127"/>
              <w:rPr>
                <w:sz w:val="18"/>
              </w:rPr>
            </w:pPr>
            <w:r>
              <w:rPr>
                <w:sz w:val="18"/>
              </w:rPr>
              <w:t>(36.16)</w:t>
            </w:r>
          </w:p>
        </w:tc>
        <w:tc>
          <w:tcPr>
            <w:tcW w:w="1080" w:type="dxa"/>
          </w:tcPr>
          <w:p w:rsidR="0031076A" w:rsidRDefault="00935374">
            <w:pPr>
              <w:pStyle w:val="TableParagraph"/>
              <w:ind w:left="126" w:right="128"/>
              <w:jc w:val="center"/>
              <w:rPr>
                <w:sz w:val="18"/>
              </w:rPr>
            </w:pPr>
            <w:r>
              <w:rPr>
                <w:sz w:val="18"/>
              </w:rPr>
              <w:t>1.3482***</w:t>
            </w:r>
          </w:p>
        </w:tc>
        <w:tc>
          <w:tcPr>
            <w:tcW w:w="792" w:type="dxa"/>
          </w:tcPr>
          <w:p w:rsidR="0031076A" w:rsidRDefault="00935374">
            <w:pPr>
              <w:pStyle w:val="TableParagraph"/>
              <w:ind w:right="128"/>
              <w:jc w:val="right"/>
              <w:rPr>
                <w:sz w:val="18"/>
              </w:rPr>
            </w:pPr>
            <w:r>
              <w:rPr>
                <w:sz w:val="18"/>
              </w:rPr>
              <w:t>(13.31)</w:t>
            </w:r>
          </w:p>
        </w:tc>
        <w:tc>
          <w:tcPr>
            <w:tcW w:w="1080" w:type="dxa"/>
          </w:tcPr>
          <w:p w:rsidR="0031076A" w:rsidRDefault="00935374">
            <w:pPr>
              <w:pStyle w:val="TableParagraph"/>
              <w:ind w:left="146"/>
              <w:rPr>
                <w:sz w:val="18"/>
              </w:rPr>
            </w:pPr>
            <w:r>
              <w:rPr>
                <w:sz w:val="18"/>
              </w:rPr>
              <w:t>0.9065***</w:t>
            </w:r>
          </w:p>
        </w:tc>
        <w:tc>
          <w:tcPr>
            <w:tcW w:w="792" w:type="dxa"/>
          </w:tcPr>
          <w:p w:rsidR="0031076A" w:rsidRDefault="00935374">
            <w:pPr>
              <w:pStyle w:val="TableParagraph"/>
              <w:ind w:left="81" w:right="81"/>
              <w:jc w:val="center"/>
              <w:rPr>
                <w:sz w:val="18"/>
              </w:rPr>
            </w:pPr>
            <w:r>
              <w:rPr>
                <w:sz w:val="18"/>
              </w:rPr>
              <w:t>(-3.41)</w:t>
            </w:r>
          </w:p>
        </w:tc>
        <w:tc>
          <w:tcPr>
            <w:tcW w:w="1081" w:type="dxa"/>
          </w:tcPr>
          <w:p w:rsidR="0031076A" w:rsidRDefault="00935374">
            <w:pPr>
              <w:pStyle w:val="TableParagraph"/>
              <w:ind w:left="126" w:right="127"/>
              <w:jc w:val="center"/>
              <w:rPr>
                <w:sz w:val="18"/>
              </w:rPr>
            </w:pPr>
            <w:r>
              <w:rPr>
                <w:sz w:val="18"/>
              </w:rPr>
              <w:t>0.6752***</w:t>
            </w:r>
          </w:p>
        </w:tc>
        <w:tc>
          <w:tcPr>
            <w:tcW w:w="792" w:type="dxa"/>
          </w:tcPr>
          <w:p w:rsidR="0031076A" w:rsidRDefault="00935374">
            <w:pPr>
              <w:pStyle w:val="TableParagraph"/>
              <w:ind w:right="144"/>
              <w:jc w:val="right"/>
              <w:rPr>
                <w:sz w:val="18"/>
              </w:rPr>
            </w:pPr>
            <w:r>
              <w:rPr>
                <w:sz w:val="18"/>
              </w:rPr>
              <w:t>(-4.94)</w:t>
            </w:r>
          </w:p>
        </w:tc>
      </w:tr>
      <w:tr w:rsidR="0031076A">
        <w:trPr>
          <w:trHeight w:hRule="exact" w:val="233"/>
        </w:trPr>
        <w:tc>
          <w:tcPr>
            <w:tcW w:w="9467" w:type="dxa"/>
            <w:gridSpan w:val="9"/>
          </w:tcPr>
          <w:p w:rsidR="0031076A" w:rsidRDefault="00935374">
            <w:pPr>
              <w:pStyle w:val="TableParagraph"/>
              <w:ind w:left="33"/>
              <w:rPr>
                <w:b/>
                <w:i/>
                <w:sz w:val="18"/>
              </w:rPr>
            </w:pPr>
            <w:r>
              <w:rPr>
                <w:b/>
                <w:i/>
                <w:sz w:val="18"/>
              </w:rPr>
              <w:t>Race (Omitted: White)</w:t>
            </w:r>
          </w:p>
        </w:tc>
      </w:tr>
      <w:tr w:rsidR="0031076A">
        <w:trPr>
          <w:trHeight w:hRule="exact" w:val="235"/>
        </w:trPr>
        <w:tc>
          <w:tcPr>
            <w:tcW w:w="1978" w:type="dxa"/>
          </w:tcPr>
          <w:p w:rsidR="0031076A" w:rsidRDefault="00935374">
            <w:pPr>
              <w:pStyle w:val="TableParagraph"/>
              <w:spacing w:before="1" w:line="240" w:lineRule="auto"/>
              <w:ind w:left="264"/>
              <w:rPr>
                <w:b/>
                <w:sz w:val="18"/>
              </w:rPr>
            </w:pPr>
            <w:r>
              <w:rPr>
                <w:b/>
                <w:sz w:val="18"/>
              </w:rPr>
              <w:t>Black/AA</w:t>
            </w:r>
          </w:p>
        </w:tc>
        <w:tc>
          <w:tcPr>
            <w:tcW w:w="1081" w:type="dxa"/>
          </w:tcPr>
          <w:p w:rsidR="0031076A" w:rsidRDefault="00935374">
            <w:pPr>
              <w:pStyle w:val="TableParagraph"/>
              <w:spacing w:before="1" w:line="240" w:lineRule="auto"/>
              <w:ind w:left="126" w:right="128"/>
              <w:jc w:val="center"/>
              <w:rPr>
                <w:sz w:val="18"/>
              </w:rPr>
            </w:pPr>
            <w:r>
              <w:rPr>
                <w:sz w:val="18"/>
              </w:rPr>
              <w:t>0.9059***</w:t>
            </w:r>
          </w:p>
        </w:tc>
        <w:tc>
          <w:tcPr>
            <w:tcW w:w="792" w:type="dxa"/>
          </w:tcPr>
          <w:p w:rsidR="0031076A" w:rsidRDefault="00935374">
            <w:pPr>
              <w:pStyle w:val="TableParagraph"/>
              <w:spacing w:before="1" w:line="240" w:lineRule="auto"/>
              <w:ind w:left="100"/>
              <w:rPr>
                <w:sz w:val="18"/>
              </w:rPr>
            </w:pPr>
            <w:r>
              <w:rPr>
                <w:sz w:val="18"/>
              </w:rPr>
              <w:t>(-16.78)</w:t>
            </w:r>
          </w:p>
        </w:tc>
        <w:tc>
          <w:tcPr>
            <w:tcW w:w="1080" w:type="dxa"/>
          </w:tcPr>
          <w:p w:rsidR="0031076A" w:rsidRDefault="00935374">
            <w:pPr>
              <w:pStyle w:val="TableParagraph"/>
              <w:spacing w:before="1" w:line="240" w:lineRule="auto"/>
              <w:ind w:left="126" w:right="128"/>
              <w:jc w:val="center"/>
              <w:rPr>
                <w:sz w:val="18"/>
              </w:rPr>
            </w:pPr>
            <w:r>
              <w:rPr>
                <w:sz w:val="18"/>
              </w:rPr>
              <w:t>1.4092***</w:t>
            </w:r>
          </w:p>
        </w:tc>
        <w:tc>
          <w:tcPr>
            <w:tcW w:w="792" w:type="dxa"/>
          </w:tcPr>
          <w:p w:rsidR="0031076A" w:rsidRDefault="00935374">
            <w:pPr>
              <w:pStyle w:val="TableParagraph"/>
              <w:spacing w:before="1" w:line="240" w:lineRule="auto"/>
              <w:ind w:right="128"/>
              <w:jc w:val="right"/>
              <w:rPr>
                <w:sz w:val="18"/>
              </w:rPr>
            </w:pPr>
            <w:r>
              <w:rPr>
                <w:sz w:val="18"/>
              </w:rPr>
              <w:t>(32.84)</w:t>
            </w:r>
          </w:p>
        </w:tc>
        <w:tc>
          <w:tcPr>
            <w:tcW w:w="1080" w:type="dxa"/>
          </w:tcPr>
          <w:p w:rsidR="0031076A" w:rsidRDefault="00935374">
            <w:pPr>
              <w:pStyle w:val="TableParagraph"/>
              <w:spacing w:before="1" w:line="240" w:lineRule="auto"/>
              <w:ind w:left="146"/>
              <w:rPr>
                <w:sz w:val="18"/>
              </w:rPr>
            </w:pPr>
            <w:r>
              <w:rPr>
                <w:sz w:val="18"/>
              </w:rPr>
              <w:t>0.6897***</w:t>
            </w:r>
          </w:p>
        </w:tc>
        <w:tc>
          <w:tcPr>
            <w:tcW w:w="792" w:type="dxa"/>
          </w:tcPr>
          <w:p w:rsidR="0031076A" w:rsidRDefault="00935374">
            <w:pPr>
              <w:pStyle w:val="TableParagraph"/>
              <w:spacing w:before="1" w:line="240" w:lineRule="auto"/>
              <w:ind w:left="81" w:right="81"/>
              <w:jc w:val="center"/>
              <w:rPr>
                <w:sz w:val="18"/>
              </w:rPr>
            </w:pPr>
            <w:r>
              <w:rPr>
                <w:sz w:val="18"/>
              </w:rPr>
              <w:t>(-25.98)</w:t>
            </w:r>
          </w:p>
        </w:tc>
        <w:tc>
          <w:tcPr>
            <w:tcW w:w="1081" w:type="dxa"/>
          </w:tcPr>
          <w:p w:rsidR="0031076A" w:rsidRDefault="00935374">
            <w:pPr>
              <w:pStyle w:val="TableParagraph"/>
              <w:spacing w:before="1" w:line="240" w:lineRule="auto"/>
              <w:ind w:left="126" w:right="127"/>
              <w:jc w:val="center"/>
              <w:rPr>
                <w:sz w:val="18"/>
              </w:rPr>
            </w:pPr>
            <w:r>
              <w:rPr>
                <w:sz w:val="18"/>
              </w:rPr>
              <w:t>0.8249***</w:t>
            </w:r>
          </w:p>
        </w:tc>
        <w:tc>
          <w:tcPr>
            <w:tcW w:w="792" w:type="dxa"/>
          </w:tcPr>
          <w:p w:rsidR="0031076A" w:rsidRDefault="00935374">
            <w:pPr>
              <w:pStyle w:val="TableParagraph"/>
              <w:spacing w:before="1" w:line="240" w:lineRule="auto"/>
              <w:ind w:right="144"/>
              <w:jc w:val="right"/>
              <w:rPr>
                <w:sz w:val="18"/>
              </w:rPr>
            </w:pPr>
            <w:r>
              <w:rPr>
                <w:sz w:val="18"/>
              </w:rPr>
              <w:t>(-3.99)</w:t>
            </w:r>
          </w:p>
        </w:tc>
      </w:tr>
      <w:tr w:rsidR="0031076A">
        <w:trPr>
          <w:trHeight w:hRule="exact" w:val="235"/>
        </w:trPr>
        <w:tc>
          <w:tcPr>
            <w:tcW w:w="1978" w:type="dxa"/>
          </w:tcPr>
          <w:p w:rsidR="0031076A" w:rsidRDefault="00935374">
            <w:pPr>
              <w:pStyle w:val="TableParagraph"/>
              <w:ind w:left="264"/>
              <w:rPr>
                <w:b/>
                <w:sz w:val="18"/>
              </w:rPr>
            </w:pPr>
            <w:r>
              <w:rPr>
                <w:b/>
                <w:sz w:val="18"/>
              </w:rPr>
              <w:t>Asian</w:t>
            </w:r>
          </w:p>
        </w:tc>
        <w:tc>
          <w:tcPr>
            <w:tcW w:w="1081" w:type="dxa"/>
          </w:tcPr>
          <w:p w:rsidR="0031076A" w:rsidRDefault="00935374">
            <w:pPr>
              <w:pStyle w:val="TableParagraph"/>
              <w:ind w:left="126" w:right="128"/>
              <w:jc w:val="center"/>
              <w:rPr>
                <w:sz w:val="18"/>
              </w:rPr>
            </w:pPr>
            <w:r>
              <w:rPr>
                <w:sz w:val="18"/>
              </w:rPr>
              <w:t>0.6318***</w:t>
            </w:r>
          </w:p>
        </w:tc>
        <w:tc>
          <w:tcPr>
            <w:tcW w:w="792" w:type="dxa"/>
          </w:tcPr>
          <w:p w:rsidR="0031076A" w:rsidRDefault="00935374">
            <w:pPr>
              <w:pStyle w:val="TableParagraph"/>
              <w:ind w:left="100"/>
              <w:rPr>
                <w:sz w:val="18"/>
              </w:rPr>
            </w:pPr>
            <w:r>
              <w:rPr>
                <w:sz w:val="18"/>
              </w:rPr>
              <w:t>(-31.94)</w:t>
            </w:r>
          </w:p>
        </w:tc>
        <w:tc>
          <w:tcPr>
            <w:tcW w:w="1080" w:type="dxa"/>
          </w:tcPr>
          <w:p w:rsidR="0031076A" w:rsidRDefault="00935374">
            <w:pPr>
              <w:pStyle w:val="TableParagraph"/>
              <w:ind w:left="126" w:right="126"/>
              <w:jc w:val="center"/>
              <w:rPr>
                <w:sz w:val="18"/>
              </w:rPr>
            </w:pPr>
            <w:r>
              <w:rPr>
                <w:sz w:val="18"/>
              </w:rPr>
              <w:t>1.0140</w:t>
            </w:r>
          </w:p>
        </w:tc>
        <w:tc>
          <w:tcPr>
            <w:tcW w:w="792" w:type="dxa"/>
          </w:tcPr>
          <w:p w:rsidR="0031076A" w:rsidRDefault="00935374">
            <w:pPr>
              <w:pStyle w:val="TableParagraph"/>
              <w:ind w:right="173"/>
              <w:jc w:val="right"/>
              <w:rPr>
                <w:sz w:val="18"/>
              </w:rPr>
            </w:pPr>
            <w:r>
              <w:rPr>
                <w:sz w:val="18"/>
              </w:rPr>
              <w:t>(0.52)</w:t>
            </w:r>
          </w:p>
        </w:tc>
        <w:tc>
          <w:tcPr>
            <w:tcW w:w="1080" w:type="dxa"/>
          </w:tcPr>
          <w:p w:rsidR="0031076A" w:rsidRDefault="00935374">
            <w:pPr>
              <w:pStyle w:val="TableParagraph"/>
              <w:ind w:left="146"/>
              <w:rPr>
                <w:sz w:val="18"/>
              </w:rPr>
            </w:pPr>
            <w:r>
              <w:rPr>
                <w:sz w:val="18"/>
              </w:rPr>
              <w:t>0.8500***</w:t>
            </w:r>
          </w:p>
        </w:tc>
        <w:tc>
          <w:tcPr>
            <w:tcW w:w="792" w:type="dxa"/>
          </w:tcPr>
          <w:p w:rsidR="0031076A" w:rsidRDefault="00935374">
            <w:pPr>
              <w:pStyle w:val="TableParagraph"/>
              <w:ind w:left="81" w:right="81"/>
              <w:jc w:val="center"/>
              <w:rPr>
                <w:sz w:val="18"/>
              </w:rPr>
            </w:pPr>
            <w:r>
              <w:rPr>
                <w:sz w:val="18"/>
              </w:rPr>
              <w:t>(-4.45)</w:t>
            </w:r>
          </w:p>
        </w:tc>
        <w:tc>
          <w:tcPr>
            <w:tcW w:w="1081" w:type="dxa"/>
          </w:tcPr>
          <w:p w:rsidR="0031076A" w:rsidRDefault="00935374">
            <w:pPr>
              <w:pStyle w:val="TableParagraph"/>
              <w:ind w:left="126" w:right="127"/>
              <w:jc w:val="center"/>
              <w:rPr>
                <w:sz w:val="18"/>
              </w:rPr>
            </w:pPr>
            <w:r>
              <w:rPr>
                <w:sz w:val="18"/>
              </w:rPr>
              <w:t>1.0374</w:t>
            </w:r>
          </w:p>
        </w:tc>
        <w:tc>
          <w:tcPr>
            <w:tcW w:w="792" w:type="dxa"/>
          </w:tcPr>
          <w:p w:rsidR="0031076A" w:rsidRDefault="00935374">
            <w:pPr>
              <w:pStyle w:val="TableParagraph"/>
              <w:ind w:right="173"/>
              <w:jc w:val="right"/>
              <w:rPr>
                <w:sz w:val="18"/>
              </w:rPr>
            </w:pPr>
            <w:r>
              <w:rPr>
                <w:sz w:val="18"/>
              </w:rPr>
              <w:t>(0.33)</w:t>
            </w:r>
          </w:p>
        </w:tc>
      </w:tr>
      <w:tr w:rsidR="0031076A">
        <w:trPr>
          <w:trHeight w:hRule="exact" w:val="236"/>
        </w:trPr>
        <w:tc>
          <w:tcPr>
            <w:tcW w:w="1978" w:type="dxa"/>
          </w:tcPr>
          <w:p w:rsidR="0031076A" w:rsidRDefault="00935374">
            <w:pPr>
              <w:pStyle w:val="TableParagraph"/>
              <w:ind w:left="264"/>
              <w:rPr>
                <w:b/>
                <w:sz w:val="18"/>
              </w:rPr>
            </w:pPr>
            <w:r>
              <w:rPr>
                <w:b/>
                <w:sz w:val="18"/>
              </w:rPr>
              <w:t>AI/AN</w:t>
            </w:r>
          </w:p>
        </w:tc>
        <w:tc>
          <w:tcPr>
            <w:tcW w:w="1081" w:type="dxa"/>
          </w:tcPr>
          <w:p w:rsidR="0031076A" w:rsidRDefault="00935374">
            <w:pPr>
              <w:pStyle w:val="TableParagraph"/>
              <w:ind w:left="126" w:right="126"/>
              <w:jc w:val="center"/>
              <w:rPr>
                <w:sz w:val="18"/>
              </w:rPr>
            </w:pPr>
            <w:r>
              <w:rPr>
                <w:sz w:val="18"/>
              </w:rPr>
              <w:t>1.0156</w:t>
            </w:r>
          </w:p>
        </w:tc>
        <w:tc>
          <w:tcPr>
            <w:tcW w:w="792" w:type="dxa"/>
          </w:tcPr>
          <w:p w:rsidR="0031076A" w:rsidRDefault="00935374">
            <w:pPr>
              <w:pStyle w:val="TableParagraph"/>
              <w:ind w:left="172"/>
              <w:rPr>
                <w:sz w:val="18"/>
              </w:rPr>
            </w:pPr>
            <w:r>
              <w:rPr>
                <w:sz w:val="18"/>
              </w:rPr>
              <w:t>(1.14)</w:t>
            </w:r>
          </w:p>
        </w:tc>
        <w:tc>
          <w:tcPr>
            <w:tcW w:w="1080" w:type="dxa"/>
          </w:tcPr>
          <w:p w:rsidR="0031076A" w:rsidRDefault="00935374">
            <w:pPr>
              <w:pStyle w:val="TableParagraph"/>
              <w:ind w:left="126" w:right="128"/>
              <w:jc w:val="center"/>
              <w:rPr>
                <w:sz w:val="18"/>
              </w:rPr>
            </w:pPr>
            <w:r>
              <w:rPr>
                <w:sz w:val="18"/>
              </w:rPr>
              <w:t>1.1800***</w:t>
            </w:r>
          </w:p>
        </w:tc>
        <w:tc>
          <w:tcPr>
            <w:tcW w:w="792" w:type="dxa"/>
          </w:tcPr>
          <w:p w:rsidR="0031076A" w:rsidRDefault="00935374">
            <w:pPr>
              <w:pStyle w:val="TableParagraph"/>
              <w:ind w:right="173"/>
              <w:jc w:val="right"/>
              <w:rPr>
                <w:sz w:val="18"/>
              </w:rPr>
            </w:pPr>
            <w:r>
              <w:rPr>
                <w:sz w:val="18"/>
              </w:rPr>
              <w:t>(6.95)</w:t>
            </w:r>
          </w:p>
        </w:tc>
        <w:tc>
          <w:tcPr>
            <w:tcW w:w="1080" w:type="dxa"/>
          </w:tcPr>
          <w:p w:rsidR="0031076A" w:rsidRDefault="00935374">
            <w:pPr>
              <w:pStyle w:val="TableParagraph"/>
              <w:ind w:left="146"/>
              <w:rPr>
                <w:sz w:val="18"/>
              </w:rPr>
            </w:pPr>
            <w:r>
              <w:rPr>
                <w:sz w:val="18"/>
              </w:rPr>
              <w:t>0.8065***</w:t>
            </w:r>
          </w:p>
        </w:tc>
        <w:tc>
          <w:tcPr>
            <w:tcW w:w="792" w:type="dxa"/>
          </w:tcPr>
          <w:p w:rsidR="0031076A" w:rsidRDefault="00935374">
            <w:pPr>
              <w:pStyle w:val="TableParagraph"/>
              <w:ind w:left="81" w:right="81"/>
              <w:jc w:val="center"/>
              <w:rPr>
                <w:sz w:val="18"/>
              </w:rPr>
            </w:pPr>
            <w:r>
              <w:rPr>
                <w:sz w:val="18"/>
              </w:rPr>
              <w:t>(-6.03)</w:t>
            </w:r>
          </w:p>
        </w:tc>
        <w:tc>
          <w:tcPr>
            <w:tcW w:w="1081" w:type="dxa"/>
          </w:tcPr>
          <w:p w:rsidR="0031076A" w:rsidRDefault="00935374">
            <w:pPr>
              <w:pStyle w:val="TableParagraph"/>
              <w:ind w:left="126" w:right="127"/>
              <w:jc w:val="center"/>
              <w:rPr>
                <w:sz w:val="18"/>
              </w:rPr>
            </w:pPr>
            <w:r>
              <w:rPr>
                <w:sz w:val="18"/>
              </w:rPr>
              <w:t>1.0724</w:t>
            </w:r>
          </w:p>
        </w:tc>
        <w:tc>
          <w:tcPr>
            <w:tcW w:w="792" w:type="dxa"/>
          </w:tcPr>
          <w:p w:rsidR="0031076A" w:rsidRDefault="00935374">
            <w:pPr>
              <w:pStyle w:val="TableParagraph"/>
              <w:ind w:right="173"/>
              <w:jc w:val="right"/>
              <w:rPr>
                <w:sz w:val="18"/>
              </w:rPr>
            </w:pPr>
            <w:r>
              <w:rPr>
                <w:sz w:val="18"/>
              </w:rPr>
              <w:t>(0.64)</w:t>
            </w:r>
          </w:p>
        </w:tc>
      </w:tr>
      <w:tr w:rsidR="0031076A">
        <w:trPr>
          <w:trHeight w:hRule="exact" w:val="235"/>
        </w:trPr>
        <w:tc>
          <w:tcPr>
            <w:tcW w:w="1978" w:type="dxa"/>
          </w:tcPr>
          <w:p w:rsidR="0031076A" w:rsidRDefault="00935374">
            <w:pPr>
              <w:pStyle w:val="TableParagraph"/>
              <w:ind w:left="264"/>
              <w:rPr>
                <w:b/>
                <w:sz w:val="18"/>
              </w:rPr>
            </w:pPr>
            <w:r>
              <w:rPr>
                <w:b/>
                <w:sz w:val="18"/>
              </w:rPr>
              <w:t>NAT HI/OT PI</w:t>
            </w:r>
          </w:p>
        </w:tc>
        <w:tc>
          <w:tcPr>
            <w:tcW w:w="1081" w:type="dxa"/>
          </w:tcPr>
          <w:p w:rsidR="0031076A" w:rsidRDefault="00935374">
            <w:pPr>
              <w:pStyle w:val="TableParagraph"/>
              <w:ind w:left="126" w:right="128"/>
              <w:jc w:val="center"/>
              <w:rPr>
                <w:sz w:val="18"/>
              </w:rPr>
            </w:pPr>
            <w:r>
              <w:rPr>
                <w:sz w:val="18"/>
              </w:rPr>
              <w:t>0.5844***</w:t>
            </w:r>
          </w:p>
        </w:tc>
        <w:tc>
          <w:tcPr>
            <w:tcW w:w="792" w:type="dxa"/>
          </w:tcPr>
          <w:p w:rsidR="0031076A" w:rsidRDefault="00935374">
            <w:pPr>
              <w:pStyle w:val="TableParagraph"/>
              <w:ind w:left="100"/>
              <w:rPr>
                <w:sz w:val="18"/>
              </w:rPr>
            </w:pPr>
            <w:r>
              <w:rPr>
                <w:sz w:val="18"/>
              </w:rPr>
              <w:t>(-21.69)</w:t>
            </w:r>
          </w:p>
        </w:tc>
        <w:tc>
          <w:tcPr>
            <w:tcW w:w="1080" w:type="dxa"/>
          </w:tcPr>
          <w:p w:rsidR="0031076A" w:rsidRDefault="00935374">
            <w:pPr>
              <w:pStyle w:val="TableParagraph"/>
              <w:ind w:left="126" w:right="128"/>
              <w:jc w:val="center"/>
              <w:rPr>
                <w:sz w:val="18"/>
              </w:rPr>
            </w:pPr>
            <w:r>
              <w:rPr>
                <w:sz w:val="18"/>
              </w:rPr>
              <w:t>1.2319***</w:t>
            </w:r>
          </w:p>
        </w:tc>
        <w:tc>
          <w:tcPr>
            <w:tcW w:w="792" w:type="dxa"/>
          </w:tcPr>
          <w:p w:rsidR="0031076A" w:rsidRDefault="00935374">
            <w:pPr>
              <w:pStyle w:val="TableParagraph"/>
              <w:ind w:right="173"/>
              <w:jc w:val="right"/>
              <w:rPr>
                <w:sz w:val="18"/>
              </w:rPr>
            </w:pPr>
            <w:r>
              <w:rPr>
                <w:sz w:val="18"/>
              </w:rPr>
              <w:t>(4.29)</w:t>
            </w:r>
          </w:p>
        </w:tc>
        <w:tc>
          <w:tcPr>
            <w:tcW w:w="1080" w:type="dxa"/>
          </w:tcPr>
          <w:p w:rsidR="0031076A" w:rsidRDefault="00935374">
            <w:pPr>
              <w:pStyle w:val="TableParagraph"/>
              <w:ind w:left="189"/>
              <w:rPr>
                <w:sz w:val="18"/>
              </w:rPr>
            </w:pPr>
            <w:r>
              <w:rPr>
                <w:sz w:val="18"/>
              </w:rPr>
              <w:t>0.8262**</w:t>
            </w:r>
          </w:p>
        </w:tc>
        <w:tc>
          <w:tcPr>
            <w:tcW w:w="792" w:type="dxa"/>
          </w:tcPr>
          <w:p w:rsidR="0031076A" w:rsidRDefault="00935374">
            <w:pPr>
              <w:pStyle w:val="TableParagraph"/>
              <w:ind w:left="81" w:right="81"/>
              <w:jc w:val="center"/>
              <w:rPr>
                <w:sz w:val="18"/>
              </w:rPr>
            </w:pPr>
            <w:r>
              <w:rPr>
                <w:sz w:val="18"/>
              </w:rPr>
              <w:t>(-2.88)</w:t>
            </w:r>
          </w:p>
        </w:tc>
        <w:tc>
          <w:tcPr>
            <w:tcW w:w="1081" w:type="dxa"/>
          </w:tcPr>
          <w:p w:rsidR="0031076A" w:rsidRDefault="00935374">
            <w:pPr>
              <w:pStyle w:val="TableParagraph"/>
              <w:ind w:left="126" w:right="127"/>
              <w:jc w:val="center"/>
              <w:rPr>
                <w:sz w:val="18"/>
              </w:rPr>
            </w:pPr>
            <w:r>
              <w:rPr>
                <w:sz w:val="18"/>
              </w:rPr>
              <w:t>1.1554</w:t>
            </w:r>
          </w:p>
        </w:tc>
        <w:tc>
          <w:tcPr>
            <w:tcW w:w="792" w:type="dxa"/>
          </w:tcPr>
          <w:p w:rsidR="0031076A" w:rsidRDefault="00935374">
            <w:pPr>
              <w:pStyle w:val="TableParagraph"/>
              <w:ind w:right="173"/>
              <w:jc w:val="right"/>
              <w:rPr>
                <w:sz w:val="18"/>
              </w:rPr>
            </w:pPr>
            <w:r>
              <w:rPr>
                <w:sz w:val="18"/>
              </w:rPr>
              <w:t>(0.76)</w:t>
            </w:r>
          </w:p>
        </w:tc>
      </w:tr>
      <w:tr w:rsidR="0031076A">
        <w:trPr>
          <w:trHeight w:hRule="exact" w:val="233"/>
        </w:trPr>
        <w:tc>
          <w:tcPr>
            <w:tcW w:w="1978" w:type="dxa"/>
          </w:tcPr>
          <w:p w:rsidR="0031076A" w:rsidRDefault="00935374">
            <w:pPr>
              <w:pStyle w:val="TableParagraph"/>
              <w:ind w:left="264"/>
              <w:rPr>
                <w:b/>
                <w:sz w:val="18"/>
              </w:rPr>
            </w:pPr>
            <w:r>
              <w:rPr>
                <w:b/>
                <w:sz w:val="18"/>
              </w:rPr>
              <w:t>2+ Races</w:t>
            </w:r>
          </w:p>
        </w:tc>
        <w:tc>
          <w:tcPr>
            <w:tcW w:w="1081" w:type="dxa"/>
          </w:tcPr>
          <w:p w:rsidR="0031076A" w:rsidRDefault="00935374">
            <w:pPr>
              <w:pStyle w:val="TableParagraph"/>
              <w:ind w:left="126" w:right="128"/>
              <w:jc w:val="center"/>
              <w:rPr>
                <w:sz w:val="18"/>
              </w:rPr>
            </w:pPr>
            <w:r>
              <w:rPr>
                <w:sz w:val="18"/>
              </w:rPr>
              <w:t>0.8970***</w:t>
            </w:r>
          </w:p>
        </w:tc>
        <w:tc>
          <w:tcPr>
            <w:tcW w:w="792" w:type="dxa"/>
          </w:tcPr>
          <w:p w:rsidR="0031076A" w:rsidRDefault="00935374">
            <w:pPr>
              <w:pStyle w:val="TableParagraph"/>
              <w:ind w:left="146"/>
              <w:rPr>
                <w:sz w:val="18"/>
              </w:rPr>
            </w:pPr>
            <w:r>
              <w:rPr>
                <w:sz w:val="18"/>
              </w:rPr>
              <w:t>(-5.66)</w:t>
            </w:r>
          </w:p>
        </w:tc>
        <w:tc>
          <w:tcPr>
            <w:tcW w:w="1080" w:type="dxa"/>
          </w:tcPr>
          <w:p w:rsidR="0031076A" w:rsidRDefault="00935374">
            <w:pPr>
              <w:pStyle w:val="TableParagraph"/>
              <w:ind w:left="126" w:right="126"/>
              <w:jc w:val="center"/>
              <w:rPr>
                <w:sz w:val="18"/>
              </w:rPr>
            </w:pPr>
            <w:r>
              <w:rPr>
                <w:sz w:val="18"/>
              </w:rPr>
              <w:t>0.9926</w:t>
            </w:r>
          </w:p>
        </w:tc>
        <w:tc>
          <w:tcPr>
            <w:tcW w:w="792" w:type="dxa"/>
          </w:tcPr>
          <w:p w:rsidR="0031076A" w:rsidRDefault="00935374">
            <w:pPr>
              <w:pStyle w:val="TableParagraph"/>
              <w:ind w:right="144"/>
              <w:jc w:val="right"/>
              <w:rPr>
                <w:sz w:val="18"/>
              </w:rPr>
            </w:pPr>
            <w:r>
              <w:rPr>
                <w:sz w:val="18"/>
              </w:rPr>
              <w:t>(-0.21)</w:t>
            </w:r>
          </w:p>
        </w:tc>
        <w:tc>
          <w:tcPr>
            <w:tcW w:w="1080" w:type="dxa"/>
          </w:tcPr>
          <w:p w:rsidR="0031076A" w:rsidRDefault="00935374">
            <w:pPr>
              <w:pStyle w:val="TableParagraph"/>
              <w:ind w:left="280"/>
              <w:rPr>
                <w:sz w:val="18"/>
              </w:rPr>
            </w:pPr>
            <w:r>
              <w:rPr>
                <w:sz w:val="18"/>
              </w:rPr>
              <w:t>0.9084</w:t>
            </w:r>
          </w:p>
        </w:tc>
        <w:tc>
          <w:tcPr>
            <w:tcW w:w="792" w:type="dxa"/>
          </w:tcPr>
          <w:p w:rsidR="0031076A" w:rsidRDefault="00935374">
            <w:pPr>
              <w:pStyle w:val="TableParagraph"/>
              <w:ind w:left="81" w:right="81"/>
              <w:jc w:val="center"/>
              <w:rPr>
                <w:sz w:val="18"/>
              </w:rPr>
            </w:pPr>
            <w:r>
              <w:rPr>
                <w:sz w:val="18"/>
              </w:rPr>
              <w:t>(-1.95)</w:t>
            </w:r>
          </w:p>
        </w:tc>
        <w:tc>
          <w:tcPr>
            <w:tcW w:w="1081" w:type="dxa"/>
          </w:tcPr>
          <w:p w:rsidR="0031076A" w:rsidRDefault="00935374">
            <w:pPr>
              <w:pStyle w:val="TableParagraph"/>
              <w:ind w:left="126" w:right="127"/>
              <w:jc w:val="center"/>
              <w:rPr>
                <w:sz w:val="18"/>
              </w:rPr>
            </w:pPr>
            <w:r>
              <w:rPr>
                <w:sz w:val="18"/>
              </w:rPr>
              <w:t>1.1831</w:t>
            </w:r>
          </w:p>
        </w:tc>
        <w:tc>
          <w:tcPr>
            <w:tcW w:w="792" w:type="dxa"/>
          </w:tcPr>
          <w:p w:rsidR="0031076A" w:rsidRDefault="00935374">
            <w:pPr>
              <w:pStyle w:val="TableParagraph"/>
              <w:ind w:right="173"/>
              <w:jc w:val="right"/>
              <w:rPr>
                <w:sz w:val="18"/>
              </w:rPr>
            </w:pPr>
            <w:r>
              <w:rPr>
                <w:sz w:val="18"/>
              </w:rPr>
              <w:t>(1.15)</w:t>
            </w:r>
          </w:p>
        </w:tc>
      </w:tr>
      <w:tr w:rsidR="0031076A">
        <w:trPr>
          <w:trHeight w:hRule="exact" w:val="235"/>
        </w:trPr>
        <w:tc>
          <w:tcPr>
            <w:tcW w:w="1978" w:type="dxa"/>
          </w:tcPr>
          <w:p w:rsidR="0031076A" w:rsidRDefault="00935374">
            <w:pPr>
              <w:pStyle w:val="TableParagraph"/>
              <w:spacing w:before="1" w:line="240" w:lineRule="auto"/>
              <w:ind w:left="264"/>
              <w:rPr>
                <w:b/>
                <w:sz w:val="18"/>
              </w:rPr>
            </w:pPr>
            <w:r>
              <w:rPr>
                <w:b/>
                <w:sz w:val="18"/>
              </w:rPr>
              <w:t>Race Missing/NA</w:t>
            </w:r>
          </w:p>
        </w:tc>
        <w:tc>
          <w:tcPr>
            <w:tcW w:w="1081" w:type="dxa"/>
          </w:tcPr>
          <w:p w:rsidR="0031076A" w:rsidRDefault="00935374">
            <w:pPr>
              <w:pStyle w:val="TableParagraph"/>
              <w:spacing w:before="1" w:line="240" w:lineRule="auto"/>
              <w:ind w:left="126" w:right="128"/>
              <w:jc w:val="center"/>
              <w:rPr>
                <w:sz w:val="18"/>
              </w:rPr>
            </w:pPr>
            <w:r>
              <w:rPr>
                <w:sz w:val="18"/>
              </w:rPr>
              <w:t>0.9152***</w:t>
            </w:r>
          </w:p>
        </w:tc>
        <w:tc>
          <w:tcPr>
            <w:tcW w:w="792" w:type="dxa"/>
          </w:tcPr>
          <w:p w:rsidR="0031076A" w:rsidRDefault="00935374">
            <w:pPr>
              <w:pStyle w:val="TableParagraph"/>
              <w:spacing w:before="1" w:line="240" w:lineRule="auto"/>
              <w:ind w:left="146"/>
              <w:rPr>
                <w:sz w:val="18"/>
              </w:rPr>
            </w:pPr>
            <w:r>
              <w:rPr>
                <w:sz w:val="18"/>
              </w:rPr>
              <w:t>(-7.83)</w:t>
            </w:r>
          </w:p>
        </w:tc>
        <w:tc>
          <w:tcPr>
            <w:tcW w:w="1080" w:type="dxa"/>
          </w:tcPr>
          <w:p w:rsidR="0031076A" w:rsidRDefault="00935374">
            <w:pPr>
              <w:pStyle w:val="TableParagraph"/>
              <w:spacing w:before="1" w:line="240" w:lineRule="auto"/>
              <w:ind w:left="126" w:right="126"/>
              <w:jc w:val="center"/>
              <w:rPr>
                <w:sz w:val="18"/>
              </w:rPr>
            </w:pPr>
            <w:r>
              <w:rPr>
                <w:sz w:val="18"/>
              </w:rPr>
              <w:t>1.0173</w:t>
            </w:r>
          </w:p>
        </w:tc>
        <w:tc>
          <w:tcPr>
            <w:tcW w:w="792" w:type="dxa"/>
          </w:tcPr>
          <w:p w:rsidR="0031076A" w:rsidRDefault="00935374">
            <w:pPr>
              <w:pStyle w:val="TableParagraph"/>
              <w:spacing w:before="1" w:line="240" w:lineRule="auto"/>
              <w:ind w:right="173"/>
              <w:jc w:val="right"/>
              <w:rPr>
                <w:sz w:val="18"/>
              </w:rPr>
            </w:pPr>
            <w:r>
              <w:rPr>
                <w:sz w:val="18"/>
              </w:rPr>
              <w:t>(0.88)</w:t>
            </w:r>
          </w:p>
        </w:tc>
        <w:tc>
          <w:tcPr>
            <w:tcW w:w="1080" w:type="dxa"/>
          </w:tcPr>
          <w:p w:rsidR="0031076A" w:rsidRDefault="00935374">
            <w:pPr>
              <w:pStyle w:val="TableParagraph"/>
              <w:spacing w:before="1" w:line="240" w:lineRule="auto"/>
              <w:ind w:left="280"/>
              <w:rPr>
                <w:sz w:val="18"/>
              </w:rPr>
            </w:pPr>
            <w:r>
              <w:rPr>
                <w:sz w:val="18"/>
              </w:rPr>
              <w:t>0.9620</w:t>
            </w:r>
          </w:p>
        </w:tc>
        <w:tc>
          <w:tcPr>
            <w:tcW w:w="792" w:type="dxa"/>
          </w:tcPr>
          <w:p w:rsidR="0031076A" w:rsidRDefault="00935374">
            <w:pPr>
              <w:pStyle w:val="TableParagraph"/>
              <w:spacing w:before="1" w:line="240" w:lineRule="auto"/>
              <w:ind w:left="81" w:right="81"/>
              <w:jc w:val="center"/>
              <w:rPr>
                <w:sz w:val="18"/>
              </w:rPr>
            </w:pPr>
            <w:r>
              <w:rPr>
                <w:sz w:val="18"/>
              </w:rPr>
              <w:t>(-1.65)</w:t>
            </w:r>
          </w:p>
        </w:tc>
        <w:tc>
          <w:tcPr>
            <w:tcW w:w="1081" w:type="dxa"/>
          </w:tcPr>
          <w:p w:rsidR="0031076A" w:rsidRDefault="00935374">
            <w:pPr>
              <w:pStyle w:val="TableParagraph"/>
              <w:spacing w:before="1" w:line="240" w:lineRule="auto"/>
              <w:ind w:left="126" w:right="127"/>
              <w:jc w:val="center"/>
              <w:rPr>
                <w:sz w:val="18"/>
              </w:rPr>
            </w:pPr>
            <w:r>
              <w:rPr>
                <w:sz w:val="18"/>
              </w:rPr>
              <w:t>1.0713</w:t>
            </w:r>
          </w:p>
        </w:tc>
        <w:tc>
          <w:tcPr>
            <w:tcW w:w="792" w:type="dxa"/>
          </w:tcPr>
          <w:p w:rsidR="0031076A" w:rsidRDefault="00935374">
            <w:pPr>
              <w:pStyle w:val="TableParagraph"/>
              <w:spacing w:before="1" w:line="240" w:lineRule="auto"/>
              <w:ind w:right="173"/>
              <w:jc w:val="right"/>
              <w:rPr>
                <w:sz w:val="18"/>
              </w:rPr>
            </w:pPr>
            <w:r>
              <w:rPr>
                <w:sz w:val="18"/>
              </w:rPr>
              <w:t>(0.96)</w:t>
            </w:r>
          </w:p>
        </w:tc>
      </w:tr>
      <w:tr w:rsidR="0031076A">
        <w:trPr>
          <w:trHeight w:hRule="exact" w:val="235"/>
        </w:trPr>
        <w:tc>
          <w:tcPr>
            <w:tcW w:w="9467" w:type="dxa"/>
            <w:gridSpan w:val="9"/>
          </w:tcPr>
          <w:p w:rsidR="0031076A" w:rsidRDefault="00935374">
            <w:pPr>
              <w:pStyle w:val="TableParagraph"/>
              <w:ind w:left="33"/>
              <w:rPr>
                <w:b/>
                <w:i/>
                <w:sz w:val="18"/>
              </w:rPr>
            </w:pPr>
            <w:r>
              <w:rPr>
                <w:b/>
                <w:i/>
                <w:sz w:val="18"/>
              </w:rPr>
              <w:t>Ethnicity (Omitted: Non-Hispanic)</w:t>
            </w:r>
          </w:p>
        </w:tc>
      </w:tr>
      <w:tr w:rsidR="0031076A">
        <w:trPr>
          <w:trHeight w:hRule="exact" w:val="235"/>
        </w:trPr>
        <w:tc>
          <w:tcPr>
            <w:tcW w:w="1978" w:type="dxa"/>
          </w:tcPr>
          <w:p w:rsidR="0031076A" w:rsidRDefault="00935374">
            <w:pPr>
              <w:pStyle w:val="TableParagraph"/>
              <w:ind w:left="264"/>
              <w:rPr>
                <w:b/>
                <w:sz w:val="18"/>
              </w:rPr>
            </w:pPr>
            <w:r>
              <w:rPr>
                <w:b/>
                <w:sz w:val="18"/>
              </w:rPr>
              <w:t>Hispanic</w:t>
            </w:r>
          </w:p>
        </w:tc>
        <w:tc>
          <w:tcPr>
            <w:tcW w:w="1081" w:type="dxa"/>
          </w:tcPr>
          <w:p w:rsidR="0031076A" w:rsidRDefault="00935374">
            <w:pPr>
              <w:pStyle w:val="TableParagraph"/>
              <w:ind w:left="126" w:right="128"/>
              <w:jc w:val="center"/>
              <w:rPr>
                <w:sz w:val="18"/>
              </w:rPr>
            </w:pPr>
            <w:r>
              <w:rPr>
                <w:sz w:val="18"/>
              </w:rPr>
              <w:t>0.7214***</w:t>
            </w:r>
          </w:p>
        </w:tc>
        <w:tc>
          <w:tcPr>
            <w:tcW w:w="792" w:type="dxa"/>
          </w:tcPr>
          <w:p w:rsidR="0031076A" w:rsidRDefault="00935374">
            <w:pPr>
              <w:pStyle w:val="TableParagraph"/>
              <w:ind w:left="100"/>
              <w:rPr>
                <w:sz w:val="18"/>
              </w:rPr>
            </w:pPr>
            <w:r>
              <w:rPr>
                <w:sz w:val="18"/>
              </w:rPr>
              <w:t>(-50.50)</w:t>
            </w:r>
          </w:p>
        </w:tc>
        <w:tc>
          <w:tcPr>
            <w:tcW w:w="1080" w:type="dxa"/>
          </w:tcPr>
          <w:p w:rsidR="0031076A" w:rsidRDefault="00935374">
            <w:pPr>
              <w:pStyle w:val="TableParagraph"/>
              <w:ind w:left="126" w:right="126"/>
              <w:jc w:val="center"/>
              <w:rPr>
                <w:sz w:val="18"/>
              </w:rPr>
            </w:pPr>
            <w:r>
              <w:rPr>
                <w:sz w:val="18"/>
              </w:rPr>
              <w:t>0.9793</w:t>
            </w:r>
          </w:p>
        </w:tc>
        <w:tc>
          <w:tcPr>
            <w:tcW w:w="792" w:type="dxa"/>
          </w:tcPr>
          <w:p w:rsidR="0031076A" w:rsidRDefault="00935374">
            <w:pPr>
              <w:pStyle w:val="TableParagraph"/>
              <w:ind w:right="144"/>
              <w:jc w:val="right"/>
              <w:rPr>
                <w:sz w:val="18"/>
              </w:rPr>
            </w:pPr>
            <w:r>
              <w:rPr>
                <w:sz w:val="18"/>
              </w:rPr>
              <w:t>(-1.78)</w:t>
            </w:r>
          </w:p>
        </w:tc>
        <w:tc>
          <w:tcPr>
            <w:tcW w:w="1080" w:type="dxa"/>
          </w:tcPr>
          <w:p w:rsidR="0031076A" w:rsidRDefault="00935374">
            <w:pPr>
              <w:pStyle w:val="TableParagraph"/>
              <w:ind w:left="146"/>
              <w:rPr>
                <w:sz w:val="18"/>
              </w:rPr>
            </w:pPr>
            <w:r>
              <w:rPr>
                <w:sz w:val="18"/>
              </w:rPr>
              <w:t>0.8876***</w:t>
            </w:r>
          </w:p>
        </w:tc>
        <w:tc>
          <w:tcPr>
            <w:tcW w:w="792" w:type="dxa"/>
          </w:tcPr>
          <w:p w:rsidR="0031076A" w:rsidRDefault="00935374">
            <w:pPr>
              <w:pStyle w:val="TableParagraph"/>
              <w:ind w:left="81" w:right="81"/>
              <w:jc w:val="center"/>
              <w:rPr>
                <w:sz w:val="18"/>
              </w:rPr>
            </w:pPr>
            <w:r>
              <w:rPr>
                <w:sz w:val="18"/>
              </w:rPr>
              <w:t>(-7.54)</w:t>
            </w:r>
          </w:p>
        </w:tc>
        <w:tc>
          <w:tcPr>
            <w:tcW w:w="1081" w:type="dxa"/>
          </w:tcPr>
          <w:p w:rsidR="0031076A" w:rsidRDefault="00935374">
            <w:pPr>
              <w:pStyle w:val="TableParagraph"/>
              <w:ind w:left="125" w:right="128"/>
              <w:jc w:val="center"/>
              <w:rPr>
                <w:sz w:val="18"/>
              </w:rPr>
            </w:pPr>
            <w:r>
              <w:rPr>
                <w:sz w:val="18"/>
              </w:rPr>
              <w:t>1.1595**</w:t>
            </w:r>
          </w:p>
        </w:tc>
        <w:tc>
          <w:tcPr>
            <w:tcW w:w="792" w:type="dxa"/>
          </w:tcPr>
          <w:p w:rsidR="0031076A" w:rsidRDefault="00935374">
            <w:pPr>
              <w:pStyle w:val="TableParagraph"/>
              <w:ind w:right="173"/>
              <w:jc w:val="right"/>
              <w:rPr>
                <w:sz w:val="18"/>
              </w:rPr>
            </w:pPr>
            <w:r>
              <w:rPr>
                <w:sz w:val="18"/>
              </w:rPr>
              <w:t>(3.17)</w:t>
            </w:r>
          </w:p>
        </w:tc>
      </w:tr>
      <w:tr w:rsidR="0031076A">
        <w:trPr>
          <w:trHeight w:hRule="exact" w:val="235"/>
        </w:trPr>
        <w:tc>
          <w:tcPr>
            <w:tcW w:w="1978" w:type="dxa"/>
          </w:tcPr>
          <w:p w:rsidR="0031076A" w:rsidRDefault="00935374">
            <w:pPr>
              <w:pStyle w:val="TableParagraph"/>
              <w:ind w:left="264"/>
              <w:rPr>
                <w:b/>
                <w:sz w:val="18"/>
              </w:rPr>
            </w:pPr>
            <w:r>
              <w:rPr>
                <w:b/>
                <w:sz w:val="18"/>
              </w:rPr>
              <w:t>Ethnicity Missing/NA</w:t>
            </w:r>
          </w:p>
        </w:tc>
        <w:tc>
          <w:tcPr>
            <w:tcW w:w="1081" w:type="dxa"/>
          </w:tcPr>
          <w:p w:rsidR="0031076A" w:rsidRDefault="00935374">
            <w:pPr>
              <w:pStyle w:val="TableParagraph"/>
              <w:ind w:left="126" w:right="128"/>
              <w:jc w:val="center"/>
              <w:rPr>
                <w:sz w:val="18"/>
              </w:rPr>
            </w:pPr>
            <w:r>
              <w:rPr>
                <w:sz w:val="18"/>
              </w:rPr>
              <w:t>1.0876***</w:t>
            </w:r>
          </w:p>
        </w:tc>
        <w:tc>
          <w:tcPr>
            <w:tcW w:w="792" w:type="dxa"/>
          </w:tcPr>
          <w:p w:rsidR="0031076A" w:rsidRDefault="00935374">
            <w:pPr>
              <w:pStyle w:val="TableParagraph"/>
              <w:ind w:left="172"/>
              <w:rPr>
                <w:sz w:val="18"/>
              </w:rPr>
            </w:pPr>
            <w:r>
              <w:rPr>
                <w:sz w:val="18"/>
              </w:rPr>
              <w:t>(9.59)</w:t>
            </w:r>
          </w:p>
        </w:tc>
        <w:tc>
          <w:tcPr>
            <w:tcW w:w="1080" w:type="dxa"/>
          </w:tcPr>
          <w:p w:rsidR="0031076A" w:rsidRDefault="00935374">
            <w:pPr>
              <w:pStyle w:val="TableParagraph"/>
              <w:ind w:left="126" w:right="126"/>
              <w:jc w:val="center"/>
              <w:rPr>
                <w:sz w:val="18"/>
              </w:rPr>
            </w:pPr>
            <w:r>
              <w:rPr>
                <w:sz w:val="18"/>
              </w:rPr>
              <w:t>0.9830</w:t>
            </w:r>
          </w:p>
        </w:tc>
        <w:tc>
          <w:tcPr>
            <w:tcW w:w="792" w:type="dxa"/>
          </w:tcPr>
          <w:p w:rsidR="0031076A" w:rsidRDefault="00935374">
            <w:pPr>
              <w:pStyle w:val="TableParagraph"/>
              <w:ind w:right="144"/>
              <w:jc w:val="right"/>
              <w:rPr>
                <w:sz w:val="18"/>
              </w:rPr>
            </w:pPr>
            <w:r>
              <w:rPr>
                <w:sz w:val="18"/>
              </w:rPr>
              <w:t>(-1.20)</w:t>
            </w:r>
          </w:p>
        </w:tc>
        <w:tc>
          <w:tcPr>
            <w:tcW w:w="1080" w:type="dxa"/>
          </w:tcPr>
          <w:p w:rsidR="0031076A" w:rsidRDefault="00935374">
            <w:pPr>
              <w:pStyle w:val="TableParagraph"/>
              <w:ind w:left="280"/>
              <w:rPr>
                <w:sz w:val="18"/>
              </w:rPr>
            </w:pPr>
            <w:r>
              <w:rPr>
                <w:sz w:val="18"/>
              </w:rPr>
              <w:t>0.9898</w:t>
            </w:r>
          </w:p>
        </w:tc>
        <w:tc>
          <w:tcPr>
            <w:tcW w:w="792" w:type="dxa"/>
          </w:tcPr>
          <w:p w:rsidR="0031076A" w:rsidRDefault="00935374">
            <w:pPr>
              <w:pStyle w:val="TableParagraph"/>
              <w:ind w:left="81" w:right="81"/>
              <w:jc w:val="center"/>
              <w:rPr>
                <w:sz w:val="18"/>
              </w:rPr>
            </w:pPr>
            <w:r>
              <w:rPr>
                <w:sz w:val="18"/>
              </w:rPr>
              <w:t>(-0.61)</w:t>
            </w:r>
          </w:p>
        </w:tc>
        <w:tc>
          <w:tcPr>
            <w:tcW w:w="1081" w:type="dxa"/>
          </w:tcPr>
          <w:p w:rsidR="0031076A" w:rsidRDefault="00935374">
            <w:pPr>
              <w:pStyle w:val="TableParagraph"/>
              <w:ind w:left="126" w:right="127"/>
              <w:jc w:val="center"/>
              <w:rPr>
                <w:sz w:val="18"/>
              </w:rPr>
            </w:pPr>
            <w:r>
              <w:rPr>
                <w:sz w:val="18"/>
              </w:rPr>
              <w:t>0.9825</w:t>
            </w:r>
          </w:p>
        </w:tc>
        <w:tc>
          <w:tcPr>
            <w:tcW w:w="792" w:type="dxa"/>
          </w:tcPr>
          <w:p w:rsidR="0031076A" w:rsidRDefault="00935374">
            <w:pPr>
              <w:pStyle w:val="TableParagraph"/>
              <w:ind w:right="144"/>
              <w:jc w:val="right"/>
              <w:rPr>
                <w:sz w:val="18"/>
              </w:rPr>
            </w:pPr>
            <w:r>
              <w:rPr>
                <w:sz w:val="18"/>
              </w:rPr>
              <w:t>(-0.32)</w:t>
            </w:r>
          </w:p>
        </w:tc>
      </w:tr>
      <w:tr w:rsidR="0031076A">
        <w:trPr>
          <w:trHeight w:hRule="exact" w:val="233"/>
        </w:trPr>
        <w:tc>
          <w:tcPr>
            <w:tcW w:w="9467" w:type="dxa"/>
            <w:gridSpan w:val="9"/>
          </w:tcPr>
          <w:p w:rsidR="0031076A" w:rsidRDefault="00935374">
            <w:pPr>
              <w:pStyle w:val="TableParagraph"/>
              <w:ind w:left="33"/>
              <w:rPr>
                <w:b/>
                <w:i/>
                <w:sz w:val="18"/>
              </w:rPr>
            </w:pPr>
            <w:r>
              <w:rPr>
                <w:b/>
                <w:i/>
                <w:sz w:val="18"/>
              </w:rPr>
              <w:t>Education (Omitted: HS Graduates)</w:t>
            </w:r>
          </w:p>
        </w:tc>
      </w:tr>
      <w:tr w:rsidR="0031076A">
        <w:trPr>
          <w:trHeight w:hRule="exact" w:val="235"/>
        </w:trPr>
        <w:tc>
          <w:tcPr>
            <w:tcW w:w="1978" w:type="dxa"/>
          </w:tcPr>
          <w:p w:rsidR="0031076A" w:rsidRDefault="00935374">
            <w:pPr>
              <w:pStyle w:val="TableParagraph"/>
              <w:spacing w:before="1" w:line="240" w:lineRule="auto"/>
              <w:ind w:left="264"/>
              <w:rPr>
                <w:b/>
                <w:sz w:val="18"/>
              </w:rPr>
            </w:pPr>
            <w:r>
              <w:rPr>
                <w:b/>
                <w:sz w:val="18"/>
              </w:rPr>
              <w:t>Below HS</w:t>
            </w:r>
          </w:p>
        </w:tc>
        <w:tc>
          <w:tcPr>
            <w:tcW w:w="1081" w:type="dxa"/>
          </w:tcPr>
          <w:p w:rsidR="0031076A" w:rsidRDefault="00935374">
            <w:pPr>
              <w:pStyle w:val="TableParagraph"/>
              <w:spacing w:before="1" w:line="240" w:lineRule="auto"/>
              <w:ind w:left="126" w:right="128"/>
              <w:jc w:val="center"/>
              <w:rPr>
                <w:sz w:val="18"/>
              </w:rPr>
            </w:pPr>
            <w:r>
              <w:rPr>
                <w:sz w:val="18"/>
              </w:rPr>
              <w:t>1.6021***</w:t>
            </w:r>
          </w:p>
        </w:tc>
        <w:tc>
          <w:tcPr>
            <w:tcW w:w="792" w:type="dxa"/>
          </w:tcPr>
          <w:p w:rsidR="0031076A" w:rsidRDefault="00935374">
            <w:pPr>
              <w:pStyle w:val="TableParagraph"/>
              <w:spacing w:before="1" w:line="240" w:lineRule="auto"/>
              <w:ind w:left="127"/>
              <w:rPr>
                <w:sz w:val="18"/>
              </w:rPr>
            </w:pPr>
            <w:r>
              <w:rPr>
                <w:sz w:val="18"/>
              </w:rPr>
              <w:t>(23.17)</w:t>
            </w:r>
          </w:p>
        </w:tc>
        <w:tc>
          <w:tcPr>
            <w:tcW w:w="1080" w:type="dxa"/>
          </w:tcPr>
          <w:p w:rsidR="0031076A" w:rsidRDefault="00935374">
            <w:pPr>
              <w:pStyle w:val="TableParagraph"/>
              <w:spacing w:before="1" w:line="240" w:lineRule="auto"/>
              <w:ind w:left="126" w:right="128"/>
              <w:jc w:val="center"/>
              <w:rPr>
                <w:sz w:val="18"/>
              </w:rPr>
            </w:pPr>
            <w:r>
              <w:rPr>
                <w:sz w:val="18"/>
              </w:rPr>
              <w:t>1.7575***</w:t>
            </w:r>
          </w:p>
        </w:tc>
        <w:tc>
          <w:tcPr>
            <w:tcW w:w="792" w:type="dxa"/>
          </w:tcPr>
          <w:p w:rsidR="0031076A" w:rsidRDefault="00935374">
            <w:pPr>
              <w:pStyle w:val="TableParagraph"/>
              <w:spacing w:before="1" w:line="240" w:lineRule="auto"/>
              <w:ind w:right="128"/>
              <w:jc w:val="right"/>
              <w:rPr>
                <w:sz w:val="18"/>
              </w:rPr>
            </w:pPr>
            <w:r>
              <w:rPr>
                <w:sz w:val="18"/>
              </w:rPr>
              <w:t>(15.20)</w:t>
            </w:r>
          </w:p>
        </w:tc>
        <w:tc>
          <w:tcPr>
            <w:tcW w:w="1080" w:type="dxa"/>
          </w:tcPr>
          <w:p w:rsidR="0031076A" w:rsidRDefault="00935374">
            <w:pPr>
              <w:pStyle w:val="TableParagraph"/>
              <w:spacing w:before="1" w:line="240" w:lineRule="auto"/>
              <w:ind w:left="146"/>
              <w:rPr>
                <w:sz w:val="18"/>
              </w:rPr>
            </w:pPr>
            <w:r>
              <w:rPr>
                <w:sz w:val="18"/>
              </w:rPr>
              <w:t>0.6351***</w:t>
            </w:r>
          </w:p>
        </w:tc>
        <w:tc>
          <w:tcPr>
            <w:tcW w:w="792" w:type="dxa"/>
          </w:tcPr>
          <w:p w:rsidR="0031076A" w:rsidRDefault="00935374">
            <w:pPr>
              <w:pStyle w:val="TableParagraph"/>
              <w:spacing w:before="1" w:line="240" w:lineRule="auto"/>
              <w:ind w:left="81" w:right="81"/>
              <w:jc w:val="center"/>
              <w:rPr>
                <w:sz w:val="18"/>
              </w:rPr>
            </w:pPr>
            <w:r>
              <w:rPr>
                <w:sz w:val="18"/>
              </w:rPr>
              <w:t>(-9.11)</w:t>
            </w:r>
          </w:p>
        </w:tc>
        <w:tc>
          <w:tcPr>
            <w:tcW w:w="1081" w:type="dxa"/>
          </w:tcPr>
          <w:p w:rsidR="0031076A" w:rsidRDefault="00935374">
            <w:pPr>
              <w:pStyle w:val="TableParagraph"/>
              <w:spacing w:before="1" w:line="240" w:lineRule="auto"/>
              <w:ind w:left="126" w:right="127"/>
              <w:jc w:val="center"/>
              <w:rPr>
                <w:sz w:val="18"/>
              </w:rPr>
            </w:pPr>
            <w:r>
              <w:rPr>
                <w:sz w:val="18"/>
              </w:rPr>
              <w:t>0.6858*</w:t>
            </w:r>
          </w:p>
        </w:tc>
        <w:tc>
          <w:tcPr>
            <w:tcW w:w="792" w:type="dxa"/>
          </w:tcPr>
          <w:p w:rsidR="0031076A" w:rsidRDefault="00935374">
            <w:pPr>
              <w:pStyle w:val="TableParagraph"/>
              <w:spacing w:before="1" w:line="240" w:lineRule="auto"/>
              <w:ind w:right="144"/>
              <w:jc w:val="right"/>
              <w:rPr>
                <w:sz w:val="18"/>
              </w:rPr>
            </w:pPr>
            <w:r>
              <w:rPr>
                <w:sz w:val="18"/>
              </w:rPr>
              <w:t>(-2.38)</w:t>
            </w:r>
          </w:p>
        </w:tc>
      </w:tr>
      <w:tr w:rsidR="0031076A">
        <w:trPr>
          <w:trHeight w:hRule="exact" w:val="235"/>
        </w:trPr>
        <w:tc>
          <w:tcPr>
            <w:tcW w:w="1978" w:type="dxa"/>
          </w:tcPr>
          <w:p w:rsidR="0031076A" w:rsidRDefault="00935374">
            <w:pPr>
              <w:pStyle w:val="TableParagraph"/>
              <w:ind w:left="264"/>
              <w:rPr>
                <w:b/>
                <w:sz w:val="18"/>
              </w:rPr>
            </w:pPr>
            <w:r>
              <w:rPr>
                <w:b/>
                <w:sz w:val="18"/>
              </w:rPr>
              <w:t>GED Equivalent</w:t>
            </w:r>
          </w:p>
        </w:tc>
        <w:tc>
          <w:tcPr>
            <w:tcW w:w="1081" w:type="dxa"/>
          </w:tcPr>
          <w:p w:rsidR="0031076A" w:rsidRDefault="00935374">
            <w:pPr>
              <w:pStyle w:val="TableParagraph"/>
              <w:ind w:left="126" w:right="128"/>
              <w:jc w:val="center"/>
              <w:rPr>
                <w:sz w:val="18"/>
              </w:rPr>
            </w:pPr>
            <w:r>
              <w:rPr>
                <w:sz w:val="18"/>
              </w:rPr>
              <w:t>1.6565***</w:t>
            </w:r>
          </w:p>
        </w:tc>
        <w:tc>
          <w:tcPr>
            <w:tcW w:w="792" w:type="dxa"/>
          </w:tcPr>
          <w:p w:rsidR="0031076A" w:rsidRDefault="00935374">
            <w:pPr>
              <w:pStyle w:val="TableParagraph"/>
              <w:ind w:left="127"/>
              <w:rPr>
                <w:sz w:val="18"/>
              </w:rPr>
            </w:pPr>
            <w:r>
              <w:rPr>
                <w:sz w:val="18"/>
              </w:rPr>
              <w:t>(78.17)</w:t>
            </w:r>
          </w:p>
        </w:tc>
        <w:tc>
          <w:tcPr>
            <w:tcW w:w="1080" w:type="dxa"/>
          </w:tcPr>
          <w:p w:rsidR="0031076A" w:rsidRDefault="00935374">
            <w:pPr>
              <w:pStyle w:val="TableParagraph"/>
              <w:ind w:left="126" w:right="128"/>
              <w:jc w:val="center"/>
              <w:rPr>
                <w:sz w:val="18"/>
              </w:rPr>
            </w:pPr>
            <w:r>
              <w:rPr>
                <w:sz w:val="18"/>
              </w:rPr>
              <w:t>1.4608***</w:t>
            </w:r>
          </w:p>
        </w:tc>
        <w:tc>
          <w:tcPr>
            <w:tcW w:w="792" w:type="dxa"/>
          </w:tcPr>
          <w:p w:rsidR="0031076A" w:rsidRDefault="00935374">
            <w:pPr>
              <w:pStyle w:val="TableParagraph"/>
              <w:ind w:right="128"/>
              <w:jc w:val="right"/>
              <w:rPr>
                <w:sz w:val="18"/>
              </w:rPr>
            </w:pPr>
            <w:r>
              <w:rPr>
                <w:sz w:val="18"/>
              </w:rPr>
              <w:t>(34.78)</w:t>
            </w:r>
          </w:p>
        </w:tc>
        <w:tc>
          <w:tcPr>
            <w:tcW w:w="1080" w:type="dxa"/>
          </w:tcPr>
          <w:p w:rsidR="0031076A" w:rsidRDefault="00935374">
            <w:pPr>
              <w:pStyle w:val="TableParagraph"/>
              <w:ind w:left="146"/>
              <w:rPr>
                <w:sz w:val="18"/>
              </w:rPr>
            </w:pPr>
            <w:r>
              <w:rPr>
                <w:sz w:val="18"/>
              </w:rPr>
              <w:t>0.8093***</w:t>
            </w:r>
          </w:p>
        </w:tc>
        <w:tc>
          <w:tcPr>
            <w:tcW w:w="792" w:type="dxa"/>
          </w:tcPr>
          <w:p w:rsidR="0031076A" w:rsidRDefault="00935374">
            <w:pPr>
              <w:pStyle w:val="TableParagraph"/>
              <w:ind w:left="81" w:right="81"/>
              <w:jc w:val="center"/>
              <w:rPr>
                <w:sz w:val="18"/>
              </w:rPr>
            </w:pPr>
            <w:r>
              <w:rPr>
                <w:sz w:val="18"/>
              </w:rPr>
              <w:t>(-16.39)</w:t>
            </w:r>
          </w:p>
        </w:tc>
        <w:tc>
          <w:tcPr>
            <w:tcW w:w="1081" w:type="dxa"/>
          </w:tcPr>
          <w:p w:rsidR="0031076A" w:rsidRDefault="00935374">
            <w:pPr>
              <w:pStyle w:val="TableParagraph"/>
              <w:ind w:left="126" w:right="127"/>
              <w:jc w:val="center"/>
              <w:rPr>
                <w:sz w:val="18"/>
              </w:rPr>
            </w:pPr>
            <w:r>
              <w:rPr>
                <w:sz w:val="18"/>
              </w:rPr>
              <w:t>0.7187***</w:t>
            </w:r>
          </w:p>
        </w:tc>
        <w:tc>
          <w:tcPr>
            <w:tcW w:w="792" w:type="dxa"/>
          </w:tcPr>
          <w:p w:rsidR="0031076A" w:rsidRDefault="00935374">
            <w:pPr>
              <w:pStyle w:val="TableParagraph"/>
              <w:ind w:right="144"/>
              <w:jc w:val="right"/>
              <w:rPr>
                <w:sz w:val="18"/>
              </w:rPr>
            </w:pPr>
            <w:r>
              <w:rPr>
                <w:sz w:val="18"/>
              </w:rPr>
              <w:t>(-7.64)</w:t>
            </w:r>
          </w:p>
        </w:tc>
      </w:tr>
      <w:tr w:rsidR="0031076A">
        <w:trPr>
          <w:trHeight w:hRule="exact" w:val="235"/>
        </w:trPr>
        <w:tc>
          <w:tcPr>
            <w:tcW w:w="1978" w:type="dxa"/>
          </w:tcPr>
          <w:p w:rsidR="0031076A" w:rsidRDefault="00935374">
            <w:pPr>
              <w:pStyle w:val="TableParagraph"/>
              <w:ind w:left="264"/>
              <w:rPr>
                <w:b/>
                <w:sz w:val="18"/>
              </w:rPr>
            </w:pPr>
            <w:r>
              <w:rPr>
                <w:b/>
                <w:sz w:val="18"/>
              </w:rPr>
              <w:t>Some College</w:t>
            </w:r>
          </w:p>
        </w:tc>
        <w:tc>
          <w:tcPr>
            <w:tcW w:w="1081" w:type="dxa"/>
          </w:tcPr>
          <w:p w:rsidR="0031076A" w:rsidRDefault="00935374">
            <w:pPr>
              <w:pStyle w:val="TableParagraph"/>
              <w:ind w:left="126" w:right="128"/>
              <w:jc w:val="center"/>
              <w:rPr>
                <w:sz w:val="18"/>
              </w:rPr>
            </w:pPr>
            <w:r>
              <w:rPr>
                <w:sz w:val="18"/>
              </w:rPr>
              <w:t>1.1414***</w:t>
            </w:r>
          </w:p>
        </w:tc>
        <w:tc>
          <w:tcPr>
            <w:tcW w:w="792" w:type="dxa"/>
          </w:tcPr>
          <w:p w:rsidR="0031076A" w:rsidRDefault="00935374">
            <w:pPr>
              <w:pStyle w:val="TableParagraph"/>
              <w:ind w:left="127"/>
              <w:rPr>
                <w:sz w:val="18"/>
              </w:rPr>
            </w:pPr>
            <w:r>
              <w:rPr>
                <w:sz w:val="18"/>
              </w:rPr>
              <w:t>(12.84)</w:t>
            </w:r>
          </w:p>
        </w:tc>
        <w:tc>
          <w:tcPr>
            <w:tcW w:w="1080" w:type="dxa"/>
          </w:tcPr>
          <w:p w:rsidR="0031076A" w:rsidRDefault="00935374">
            <w:pPr>
              <w:pStyle w:val="TableParagraph"/>
              <w:ind w:left="126" w:right="127"/>
              <w:jc w:val="center"/>
              <w:rPr>
                <w:sz w:val="18"/>
              </w:rPr>
            </w:pPr>
            <w:r>
              <w:rPr>
                <w:sz w:val="18"/>
              </w:rPr>
              <w:t>1.0439*</w:t>
            </w:r>
          </w:p>
        </w:tc>
        <w:tc>
          <w:tcPr>
            <w:tcW w:w="792" w:type="dxa"/>
          </w:tcPr>
          <w:p w:rsidR="0031076A" w:rsidRDefault="00935374">
            <w:pPr>
              <w:pStyle w:val="TableParagraph"/>
              <w:ind w:right="173"/>
              <w:jc w:val="right"/>
              <w:rPr>
                <w:sz w:val="18"/>
              </w:rPr>
            </w:pPr>
            <w:r>
              <w:rPr>
                <w:sz w:val="18"/>
              </w:rPr>
              <w:t>(2.46)</w:t>
            </w:r>
          </w:p>
        </w:tc>
        <w:tc>
          <w:tcPr>
            <w:tcW w:w="1080" w:type="dxa"/>
          </w:tcPr>
          <w:p w:rsidR="0031076A" w:rsidRDefault="00935374">
            <w:pPr>
              <w:pStyle w:val="TableParagraph"/>
              <w:ind w:left="189"/>
              <w:rPr>
                <w:sz w:val="18"/>
              </w:rPr>
            </w:pPr>
            <w:r>
              <w:rPr>
                <w:sz w:val="18"/>
              </w:rPr>
              <w:t>0.9371**</w:t>
            </w:r>
          </w:p>
        </w:tc>
        <w:tc>
          <w:tcPr>
            <w:tcW w:w="792" w:type="dxa"/>
          </w:tcPr>
          <w:p w:rsidR="0031076A" w:rsidRDefault="00935374">
            <w:pPr>
              <w:pStyle w:val="TableParagraph"/>
              <w:ind w:left="81" w:right="81"/>
              <w:jc w:val="center"/>
              <w:rPr>
                <w:sz w:val="18"/>
              </w:rPr>
            </w:pPr>
            <w:r>
              <w:rPr>
                <w:sz w:val="18"/>
              </w:rPr>
              <w:t>(-3.01)</w:t>
            </w:r>
          </w:p>
        </w:tc>
        <w:tc>
          <w:tcPr>
            <w:tcW w:w="1081" w:type="dxa"/>
          </w:tcPr>
          <w:p w:rsidR="0031076A" w:rsidRDefault="00935374">
            <w:pPr>
              <w:pStyle w:val="TableParagraph"/>
              <w:ind w:left="126" w:right="127"/>
              <w:jc w:val="center"/>
              <w:rPr>
                <w:sz w:val="18"/>
              </w:rPr>
            </w:pPr>
            <w:r>
              <w:rPr>
                <w:sz w:val="18"/>
              </w:rPr>
              <w:t>0.9242</w:t>
            </w:r>
          </w:p>
        </w:tc>
        <w:tc>
          <w:tcPr>
            <w:tcW w:w="792" w:type="dxa"/>
          </w:tcPr>
          <w:p w:rsidR="0031076A" w:rsidRDefault="00935374">
            <w:pPr>
              <w:pStyle w:val="TableParagraph"/>
              <w:ind w:right="144"/>
              <w:jc w:val="right"/>
              <w:rPr>
                <w:sz w:val="18"/>
              </w:rPr>
            </w:pPr>
            <w:r>
              <w:rPr>
                <w:sz w:val="18"/>
              </w:rPr>
              <w:t>(-1.02)</w:t>
            </w:r>
          </w:p>
        </w:tc>
      </w:tr>
      <w:tr w:rsidR="0031076A">
        <w:trPr>
          <w:trHeight w:hRule="exact" w:val="235"/>
        </w:trPr>
        <w:tc>
          <w:tcPr>
            <w:tcW w:w="1978" w:type="dxa"/>
          </w:tcPr>
          <w:p w:rsidR="0031076A" w:rsidRDefault="00935374">
            <w:pPr>
              <w:pStyle w:val="TableParagraph"/>
              <w:ind w:left="33"/>
              <w:rPr>
                <w:b/>
                <w:sz w:val="18"/>
              </w:rPr>
            </w:pPr>
            <w:r>
              <w:rPr>
                <w:b/>
                <w:sz w:val="18"/>
              </w:rPr>
              <w:t>AFQTP</w:t>
            </w:r>
          </w:p>
        </w:tc>
        <w:tc>
          <w:tcPr>
            <w:tcW w:w="1081" w:type="dxa"/>
          </w:tcPr>
          <w:p w:rsidR="0031076A" w:rsidRDefault="00935374">
            <w:pPr>
              <w:pStyle w:val="TableParagraph"/>
              <w:ind w:left="126" w:right="128"/>
              <w:jc w:val="center"/>
              <w:rPr>
                <w:sz w:val="18"/>
              </w:rPr>
            </w:pPr>
            <w:r>
              <w:rPr>
                <w:sz w:val="18"/>
              </w:rPr>
              <w:t>0.9934***</w:t>
            </w:r>
          </w:p>
        </w:tc>
        <w:tc>
          <w:tcPr>
            <w:tcW w:w="792" w:type="dxa"/>
          </w:tcPr>
          <w:p w:rsidR="0031076A" w:rsidRDefault="00935374">
            <w:pPr>
              <w:pStyle w:val="TableParagraph"/>
              <w:ind w:left="100"/>
              <w:rPr>
                <w:sz w:val="18"/>
              </w:rPr>
            </w:pPr>
            <w:r>
              <w:rPr>
                <w:sz w:val="18"/>
              </w:rPr>
              <w:t>(-58.86)</w:t>
            </w:r>
          </w:p>
        </w:tc>
        <w:tc>
          <w:tcPr>
            <w:tcW w:w="1080" w:type="dxa"/>
          </w:tcPr>
          <w:p w:rsidR="0031076A" w:rsidRDefault="00935374">
            <w:pPr>
              <w:pStyle w:val="TableParagraph"/>
              <w:ind w:left="126" w:right="128"/>
              <w:jc w:val="center"/>
              <w:rPr>
                <w:sz w:val="18"/>
              </w:rPr>
            </w:pPr>
            <w:r>
              <w:rPr>
                <w:sz w:val="18"/>
              </w:rPr>
              <w:t>0.9570***</w:t>
            </w:r>
          </w:p>
        </w:tc>
        <w:tc>
          <w:tcPr>
            <w:tcW w:w="792" w:type="dxa"/>
          </w:tcPr>
          <w:p w:rsidR="0031076A" w:rsidRDefault="00935374">
            <w:pPr>
              <w:pStyle w:val="TableParagraph"/>
              <w:ind w:right="99"/>
              <w:jc w:val="right"/>
              <w:rPr>
                <w:sz w:val="18"/>
              </w:rPr>
            </w:pPr>
            <w:r>
              <w:rPr>
                <w:sz w:val="18"/>
              </w:rPr>
              <w:t>(-36.14)</w:t>
            </w:r>
          </w:p>
        </w:tc>
        <w:tc>
          <w:tcPr>
            <w:tcW w:w="1080" w:type="dxa"/>
          </w:tcPr>
          <w:p w:rsidR="0031076A" w:rsidRDefault="00935374">
            <w:pPr>
              <w:pStyle w:val="TableParagraph"/>
              <w:ind w:left="146"/>
              <w:rPr>
                <w:sz w:val="18"/>
              </w:rPr>
            </w:pPr>
            <w:r>
              <w:rPr>
                <w:sz w:val="18"/>
              </w:rPr>
              <w:t>1.0540***</w:t>
            </w:r>
          </w:p>
        </w:tc>
        <w:tc>
          <w:tcPr>
            <w:tcW w:w="792" w:type="dxa"/>
          </w:tcPr>
          <w:p w:rsidR="0031076A" w:rsidRDefault="00935374">
            <w:pPr>
              <w:pStyle w:val="TableParagraph"/>
              <w:ind w:left="80" w:right="81"/>
              <w:jc w:val="center"/>
              <w:rPr>
                <w:sz w:val="18"/>
              </w:rPr>
            </w:pPr>
            <w:r>
              <w:rPr>
                <w:sz w:val="18"/>
              </w:rPr>
              <w:t>(37.28)</w:t>
            </w:r>
          </w:p>
        </w:tc>
        <w:tc>
          <w:tcPr>
            <w:tcW w:w="1081" w:type="dxa"/>
          </w:tcPr>
          <w:p w:rsidR="0031076A" w:rsidRDefault="00935374">
            <w:pPr>
              <w:pStyle w:val="TableParagraph"/>
              <w:ind w:left="126" w:right="127"/>
              <w:jc w:val="center"/>
              <w:rPr>
                <w:sz w:val="18"/>
              </w:rPr>
            </w:pPr>
            <w:r>
              <w:rPr>
                <w:sz w:val="18"/>
              </w:rPr>
              <w:t>0.9667***</w:t>
            </w:r>
          </w:p>
        </w:tc>
        <w:tc>
          <w:tcPr>
            <w:tcW w:w="792" w:type="dxa"/>
          </w:tcPr>
          <w:p w:rsidR="0031076A" w:rsidRDefault="00935374">
            <w:pPr>
              <w:pStyle w:val="TableParagraph"/>
              <w:ind w:right="144"/>
              <w:jc w:val="right"/>
              <w:rPr>
                <w:sz w:val="18"/>
              </w:rPr>
            </w:pPr>
            <w:r>
              <w:rPr>
                <w:sz w:val="18"/>
              </w:rPr>
              <w:t>(-6.20)</w:t>
            </w:r>
          </w:p>
        </w:tc>
      </w:tr>
      <w:tr w:rsidR="0031076A">
        <w:trPr>
          <w:trHeight w:hRule="exact" w:val="233"/>
        </w:trPr>
        <w:tc>
          <w:tcPr>
            <w:tcW w:w="1978" w:type="dxa"/>
          </w:tcPr>
          <w:p w:rsidR="0031076A" w:rsidRDefault="00935374">
            <w:pPr>
              <w:pStyle w:val="TableParagraph"/>
              <w:ind w:left="33"/>
              <w:rPr>
                <w:b/>
                <w:sz w:val="18"/>
              </w:rPr>
            </w:pPr>
            <w:r>
              <w:rPr>
                <w:b/>
                <w:sz w:val="18"/>
              </w:rPr>
              <w:t>Age at Accession</w:t>
            </w:r>
          </w:p>
        </w:tc>
        <w:tc>
          <w:tcPr>
            <w:tcW w:w="1081" w:type="dxa"/>
          </w:tcPr>
          <w:p w:rsidR="0031076A" w:rsidRDefault="00935374">
            <w:pPr>
              <w:pStyle w:val="TableParagraph"/>
              <w:ind w:left="126" w:right="128"/>
              <w:jc w:val="center"/>
              <w:rPr>
                <w:sz w:val="18"/>
              </w:rPr>
            </w:pPr>
            <w:r>
              <w:rPr>
                <w:sz w:val="18"/>
              </w:rPr>
              <w:t>1.0028***</w:t>
            </w:r>
          </w:p>
        </w:tc>
        <w:tc>
          <w:tcPr>
            <w:tcW w:w="792" w:type="dxa"/>
          </w:tcPr>
          <w:p w:rsidR="0031076A" w:rsidRDefault="00935374">
            <w:pPr>
              <w:pStyle w:val="TableParagraph"/>
              <w:ind w:left="172"/>
              <w:rPr>
                <w:sz w:val="18"/>
              </w:rPr>
            </w:pPr>
            <w:r>
              <w:rPr>
                <w:sz w:val="18"/>
              </w:rPr>
              <w:t>(3.78)</w:t>
            </w:r>
          </w:p>
        </w:tc>
        <w:tc>
          <w:tcPr>
            <w:tcW w:w="1080" w:type="dxa"/>
          </w:tcPr>
          <w:p w:rsidR="0031076A" w:rsidRDefault="00935374">
            <w:pPr>
              <w:pStyle w:val="TableParagraph"/>
              <w:ind w:left="126" w:right="128"/>
              <w:jc w:val="center"/>
              <w:rPr>
                <w:sz w:val="18"/>
              </w:rPr>
            </w:pPr>
            <w:r>
              <w:rPr>
                <w:sz w:val="18"/>
              </w:rPr>
              <w:t>0.9936***</w:t>
            </w:r>
          </w:p>
        </w:tc>
        <w:tc>
          <w:tcPr>
            <w:tcW w:w="792" w:type="dxa"/>
          </w:tcPr>
          <w:p w:rsidR="0031076A" w:rsidRDefault="00935374">
            <w:pPr>
              <w:pStyle w:val="TableParagraph"/>
              <w:ind w:right="99"/>
              <w:jc w:val="right"/>
              <w:rPr>
                <w:sz w:val="18"/>
              </w:rPr>
            </w:pPr>
            <w:r>
              <w:rPr>
                <w:sz w:val="18"/>
              </w:rPr>
              <w:t>(-32.16)</w:t>
            </w:r>
          </w:p>
        </w:tc>
        <w:tc>
          <w:tcPr>
            <w:tcW w:w="1080" w:type="dxa"/>
          </w:tcPr>
          <w:p w:rsidR="0031076A" w:rsidRDefault="00935374">
            <w:pPr>
              <w:pStyle w:val="TableParagraph"/>
              <w:ind w:left="146"/>
              <w:rPr>
                <w:sz w:val="18"/>
              </w:rPr>
            </w:pPr>
            <w:r>
              <w:rPr>
                <w:sz w:val="18"/>
              </w:rPr>
              <w:t>1.0028***</w:t>
            </w:r>
          </w:p>
        </w:tc>
        <w:tc>
          <w:tcPr>
            <w:tcW w:w="792" w:type="dxa"/>
          </w:tcPr>
          <w:p w:rsidR="0031076A" w:rsidRDefault="00935374">
            <w:pPr>
              <w:pStyle w:val="TableParagraph"/>
              <w:ind w:left="80" w:right="81"/>
              <w:jc w:val="center"/>
              <w:rPr>
                <w:sz w:val="18"/>
              </w:rPr>
            </w:pPr>
            <w:r>
              <w:rPr>
                <w:sz w:val="18"/>
              </w:rPr>
              <w:t>(11.24)</w:t>
            </w:r>
          </w:p>
        </w:tc>
        <w:tc>
          <w:tcPr>
            <w:tcW w:w="1081" w:type="dxa"/>
          </w:tcPr>
          <w:p w:rsidR="0031076A" w:rsidRDefault="00935374">
            <w:pPr>
              <w:pStyle w:val="TableParagraph"/>
              <w:ind w:left="126" w:right="127"/>
              <w:jc w:val="center"/>
              <w:rPr>
                <w:sz w:val="18"/>
              </w:rPr>
            </w:pPr>
            <w:r>
              <w:rPr>
                <w:sz w:val="18"/>
              </w:rPr>
              <w:t>1.0035***</w:t>
            </w:r>
          </w:p>
        </w:tc>
        <w:tc>
          <w:tcPr>
            <w:tcW w:w="792" w:type="dxa"/>
          </w:tcPr>
          <w:p w:rsidR="0031076A" w:rsidRDefault="00935374">
            <w:pPr>
              <w:pStyle w:val="TableParagraph"/>
              <w:ind w:right="173"/>
              <w:jc w:val="right"/>
              <w:rPr>
                <w:sz w:val="18"/>
              </w:rPr>
            </w:pPr>
            <w:r>
              <w:rPr>
                <w:sz w:val="18"/>
              </w:rPr>
              <w:t>(4.37)</w:t>
            </w:r>
          </w:p>
        </w:tc>
      </w:tr>
      <w:tr w:rsidR="0031076A">
        <w:trPr>
          <w:trHeight w:hRule="exact" w:val="245"/>
        </w:trPr>
        <w:tc>
          <w:tcPr>
            <w:tcW w:w="1978" w:type="dxa"/>
            <w:tcBorders>
              <w:bottom w:val="single" w:sz="12" w:space="0" w:color="000000"/>
            </w:tcBorders>
          </w:tcPr>
          <w:p w:rsidR="0031076A" w:rsidRDefault="00935374">
            <w:pPr>
              <w:pStyle w:val="TableParagraph"/>
              <w:spacing w:before="1" w:line="240" w:lineRule="auto"/>
              <w:ind w:left="33"/>
              <w:rPr>
                <w:b/>
                <w:sz w:val="18"/>
              </w:rPr>
            </w:pPr>
            <w:r>
              <w:rPr>
                <w:b/>
                <w:sz w:val="18"/>
              </w:rPr>
              <w:t>Delayed Entry (</w:t>
            </w:r>
            <w:proofErr w:type="spellStart"/>
            <w:r>
              <w:rPr>
                <w:b/>
                <w:sz w:val="18"/>
              </w:rPr>
              <w:t>Yrs</w:t>
            </w:r>
            <w:proofErr w:type="spellEnd"/>
            <w:r>
              <w:rPr>
                <w:b/>
                <w:sz w:val="18"/>
              </w:rPr>
              <w:t>)</w:t>
            </w:r>
          </w:p>
        </w:tc>
        <w:tc>
          <w:tcPr>
            <w:tcW w:w="1081" w:type="dxa"/>
            <w:tcBorders>
              <w:bottom w:val="single" w:sz="12" w:space="0" w:color="000000"/>
            </w:tcBorders>
          </w:tcPr>
          <w:p w:rsidR="0031076A" w:rsidRDefault="00935374">
            <w:pPr>
              <w:pStyle w:val="TableParagraph"/>
              <w:spacing w:before="1" w:line="240" w:lineRule="auto"/>
              <w:ind w:left="124" w:right="128"/>
              <w:jc w:val="center"/>
              <w:rPr>
                <w:sz w:val="18"/>
              </w:rPr>
            </w:pPr>
            <w:r>
              <w:rPr>
                <w:sz w:val="18"/>
              </w:rPr>
              <w:t>0.9908**</w:t>
            </w:r>
          </w:p>
        </w:tc>
        <w:tc>
          <w:tcPr>
            <w:tcW w:w="792" w:type="dxa"/>
            <w:tcBorders>
              <w:bottom w:val="single" w:sz="12" w:space="0" w:color="000000"/>
            </w:tcBorders>
          </w:tcPr>
          <w:p w:rsidR="0031076A" w:rsidRDefault="00935374">
            <w:pPr>
              <w:pStyle w:val="TableParagraph"/>
              <w:spacing w:before="1" w:line="240" w:lineRule="auto"/>
              <w:ind w:left="146"/>
              <w:rPr>
                <w:sz w:val="18"/>
              </w:rPr>
            </w:pPr>
            <w:r>
              <w:rPr>
                <w:sz w:val="18"/>
              </w:rPr>
              <w:t>(-2.74)</w:t>
            </w:r>
          </w:p>
        </w:tc>
        <w:tc>
          <w:tcPr>
            <w:tcW w:w="1080" w:type="dxa"/>
            <w:tcBorders>
              <w:bottom w:val="single" w:sz="12" w:space="0" w:color="000000"/>
            </w:tcBorders>
          </w:tcPr>
          <w:p w:rsidR="0031076A" w:rsidRDefault="00935374">
            <w:pPr>
              <w:pStyle w:val="TableParagraph"/>
              <w:spacing w:before="1" w:line="240" w:lineRule="auto"/>
              <w:ind w:left="126" w:right="128"/>
              <w:jc w:val="center"/>
              <w:rPr>
                <w:sz w:val="18"/>
              </w:rPr>
            </w:pPr>
            <w:r>
              <w:rPr>
                <w:sz w:val="18"/>
              </w:rPr>
              <w:t>0.9749***</w:t>
            </w:r>
          </w:p>
        </w:tc>
        <w:tc>
          <w:tcPr>
            <w:tcW w:w="792" w:type="dxa"/>
            <w:tcBorders>
              <w:bottom w:val="single" w:sz="12" w:space="0" w:color="000000"/>
            </w:tcBorders>
          </w:tcPr>
          <w:p w:rsidR="0031076A" w:rsidRDefault="00935374">
            <w:pPr>
              <w:pStyle w:val="TableParagraph"/>
              <w:spacing w:before="1" w:line="240" w:lineRule="auto"/>
              <w:ind w:right="144"/>
              <w:jc w:val="right"/>
              <w:rPr>
                <w:sz w:val="18"/>
              </w:rPr>
            </w:pPr>
            <w:r>
              <w:rPr>
                <w:sz w:val="18"/>
              </w:rPr>
              <w:t>(-4.31)</w:t>
            </w:r>
          </w:p>
        </w:tc>
        <w:tc>
          <w:tcPr>
            <w:tcW w:w="1080" w:type="dxa"/>
            <w:tcBorders>
              <w:bottom w:val="single" w:sz="12" w:space="0" w:color="000000"/>
            </w:tcBorders>
          </w:tcPr>
          <w:p w:rsidR="0031076A" w:rsidRDefault="00935374">
            <w:pPr>
              <w:pStyle w:val="TableParagraph"/>
              <w:spacing w:before="1" w:line="240" w:lineRule="auto"/>
              <w:ind w:left="146"/>
              <w:rPr>
                <w:sz w:val="18"/>
              </w:rPr>
            </w:pPr>
            <w:r>
              <w:rPr>
                <w:sz w:val="18"/>
              </w:rPr>
              <w:t>1.0419***</w:t>
            </w:r>
          </w:p>
        </w:tc>
        <w:tc>
          <w:tcPr>
            <w:tcW w:w="792" w:type="dxa"/>
            <w:tcBorders>
              <w:bottom w:val="single" w:sz="12" w:space="0" w:color="000000"/>
            </w:tcBorders>
          </w:tcPr>
          <w:p w:rsidR="0031076A" w:rsidRDefault="00935374">
            <w:pPr>
              <w:pStyle w:val="TableParagraph"/>
              <w:spacing w:before="1" w:line="240" w:lineRule="auto"/>
              <w:ind w:left="80" w:right="81"/>
              <w:jc w:val="center"/>
              <w:rPr>
                <w:sz w:val="18"/>
              </w:rPr>
            </w:pPr>
            <w:r>
              <w:rPr>
                <w:sz w:val="18"/>
              </w:rPr>
              <w:t>(5.48)</w:t>
            </w:r>
          </w:p>
        </w:tc>
        <w:tc>
          <w:tcPr>
            <w:tcW w:w="1081" w:type="dxa"/>
            <w:tcBorders>
              <w:bottom w:val="single" w:sz="12" w:space="0" w:color="000000"/>
            </w:tcBorders>
          </w:tcPr>
          <w:p w:rsidR="0031076A" w:rsidRDefault="00935374">
            <w:pPr>
              <w:pStyle w:val="TableParagraph"/>
              <w:spacing w:before="1" w:line="240" w:lineRule="auto"/>
              <w:ind w:left="126" w:right="127"/>
              <w:jc w:val="center"/>
              <w:rPr>
                <w:sz w:val="18"/>
              </w:rPr>
            </w:pPr>
            <w:r>
              <w:rPr>
                <w:sz w:val="18"/>
              </w:rPr>
              <w:t>1.0142</w:t>
            </w:r>
          </w:p>
        </w:tc>
        <w:tc>
          <w:tcPr>
            <w:tcW w:w="792" w:type="dxa"/>
            <w:tcBorders>
              <w:bottom w:val="single" w:sz="12" w:space="0" w:color="000000"/>
            </w:tcBorders>
          </w:tcPr>
          <w:p w:rsidR="0031076A" w:rsidRDefault="00935374">
            <w:pPr>
              <w:pStyle w:val="TableParagraph"/>
              <w:spacing w:before="1" w:line="240" w:lineRule="auto"/>
              <w:ind w:right="173"/>
              <w:jc w:val="right"/>
              <w:rPr>
                <w:sz w:val="18"/>
              </w:rPr>
            </w:pPr>
            <w:r>
              <w:rPr>
                <w:sz w:val="18"/>
              </w:rPr>
              <w:t>(0.58)</w:t>
            </w:r>
          </w:p>
        </w:tc>
      </w:tr>
    </w:tbl>
    <w:p w:rsidR="00935374" w:rsidRDefault="00935374"/>
    <w:sectPr w:rsidR="00935374">
      <w:pgSz w:w="12240" w:h="15840"/>
      <w:pgMar w:top="1500" w:right="124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63E9"/>
    <w:multiLevelType w:val="hybridMultilevel"/>
    <w:tmpl w:val="7004DBC0"/>
    <w:lvl w:ilvl="0" w:tplc="0982F99E">
      <w:start w:val="1"/>
      <w:numFmt w:val="decimal"/>
      <w:lvlText w:val="%1."/>
      <w:lvlJc w:val="left"/>
      <w:pPr>
        <w:ind w:left="840" w:hanging="720"/>
        <w:jc w:val="left"/>
      </w:pPr>
      <w:rPr>
        <w:rFonts w:ascii="Garamond" w:eastAsia="Garamond" w:hAnsi="Garamond" w:cs="Garamond" w:hint="default"/>
        <w:b/>
        <w:bCs/>
        <w:w w:val="96"/>
        <w:sz w:val="25"/>
        <w:szCs w:val="25"/>
      </w:rPr>
    </w:lvl>
    <w:lvl w:ilvl="1" w:tplc="AB2C6886">
      <w:start w:val="1"/>
      <w:numFmt w:val="bullet"/>
      <w:lvlText w:val="•"/>
      <w:lvlJc w:val="left"/>
      <w:pPr>
        <w:ind w:left="1716" w:hanging="720"/>
      </w:pPr>
      <w:rPr>
        <w:rFonts w:hint="default"/>
      </w:rPr>
    </w:lvl>
    <w:lvl w:ilvl="2" w:tplc="37807772">
      <w:start w:val="1"/>
      <w:numFmt w:val="bullet"/>
      <w:lvlText w:val="•"/>
      <w:lvlJc w:val="left"/>
      <w:pPr>
        <w:ind w:left="2592" w:hanging="720"/>
      </w:pPr>
      <w:rPr>
        <w:rFonts w:hint="default"/>
      </w:rPr>
    </w:lvl>
    <w:lvl w:ilvl="3" w:tplc="C1D827C0">
      <w:start w:val="1"/>
      <w:numFmt w:val="bullet"/>
      <w:lvlText w:val="•"/>
      <w:lvlJc w:val="left"/>
      <w:pPr>
        <w:ind w:left="3468" w:hanging="720"/>
      </w:pPr>
      <w:rPr>
        <w:rFonts w:hint="default"/>
      </w:rPr>
    </w:lvl>
    <w:lvl w:ilvl="4" w:tplc="434E6AD2">
      <w:start w:val="1"/>
      <w:numFmt w:val="bullet"/>
      <w:lvlText w:val="•"/>
      <w:lvlJc w:val="left"/>
      <w:pPr>
        <w:ind w:left="4344" w:hanging="720"/>
      </w:pPr>
      <w:rPr>
        <w:rFonts w:hint="default"/>
      </w:rPr>
    </w:lvl>
    <w:lvl w:ilvl="5" w:tplc="74D0E6D8">
      <w:start w:val="1"/>
      <w:numFmt w:val="bullet"/>
      <w:lvlText w:val="•"/>
      <w:lvlJc w:val="left"/>
      <w:pPr>
        <w:ind w:left="5220" w:hanging="720"/>
      </w:pPr>
      <w:rPr>
        <w:rFonts w:hint="default"/>
      </w:rPr>
    </w:lvl>
    <w:lvl w:ilvl="6" w:tplc="85209EAC">
      <w:start w:val="1"/>
      <w:numFmt w:val="bullet"/>
      <w:lvlText w:val="•"/>
      <w:lvlJc w:val="left"/>
      <w:pPr>
        <w:ind w:left="6096" w:hanging="720"/>
      </w:pPr>
      <w:rPr>
        <w:rFonts w:hint="default"/>
      </w:rPr>
    </w:lvl>
    <w:lvl w:ilvl="7" w:tplc="CA080EEC">
      <w:start w:val="1"/>
      <w:numFmt w:val="bullet"/>
      <w:lvlText w:val="•"/>
      <w:lvlJc w:val="left"/>
      <w:pPr>
        <w:ind w:left="6972" w:hanging="720"/>
      </w:pPr>
      <w:rPr>
        <w:rFonts w:hint="default"/>
      </w:rPr>
    </w:lvl>
    <w:lvl w:ilvl="8" w:tplc="E7AA2C36">
      <w:start w:val="1"/>
      <w:numFmt w:val="bullet"/>
      <w:lvlText w:val="•"/>
      <w:lvlJc w:val="left"/>
      <w:pPr>
        <w:ind w:left="7848"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z74xpoL1yvXMh0GX0xT0XlvqXEk=" w:salt="jmgAnrrrnxfv1ppWtTEFxQ=="/>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76A"/>
    <w:rsid w:val="00000CBF"/>
    <w:rsid w:val="00016990"/>
    <w:rsid w:val="0031076A"/>
    <w:rsid w:val="00695104"/>
    <w:rsid w:val="00935374"/>
    <w:rsid w:val="00B003FE"/>
    <w:rsid w:val="00E0098D"/>
    <w:rsid w:val="00E06E97"/>
    <w:rsid w:val="00EC3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aramond" w:eastAsia="Garamond" w:hAnsi="Garamond" w:cs="Garamond"/>
    </w:rPr>
  </w:style>
  <w:style w:type="paragraph" w:styleId="Heading1">
    <w:name w:val="heading 1"/>
    <w:basedOn w:val="Normal"/>
    <w:uiPriority w:val="1"/>
    <w:qFormat/>
    <w:pPr>
      <w:ind w:left="100" w:hanging="720"/>
      <w:outlineLvl w:val="0"/>
    </w:pPr>
    <w:rPr>
      <w:b/>
      <w:bCs/>
      <w:sz w:val="25"/>
      <w:szCs w:val="25"/>
    </w:rPr>
  </w:style>
  <w:style w:type="paragraph" w:styleId="Heading2">
    <w:name w:val="heading 2"/>
    <w:basedOn w:val="Normal"/>
    <w:uiPriority w:val="1"/>
    <w:qFormat/>
    <w:pPr>
      <w:ind w:left="120"/>
      <w:outlineLvl w:val="1"/>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720"/>
      <w:jc w:val="both"/>
    </w:pPr>
  </w:style>
  <w:style w:type="paragraph" w:customStyle="1" w:styleId="TableParagraph">
    <w:name w:val="Table Paragraph"/>
    <w:basedOn w:val="Normal"/>
    <w:uiPriority w:val="1"/>
    <w:qFormat/>
    <w:pPr>
      <w:spacing w:line="219" w:lineRule="exact"/>
    </w:pPr>
    <w:rPr>
      <w:rFonts w:ascii="Calibri" w:eastAsia="Calibri" w:hAnsi="Calibri" w:cs="Calibri"/>
    </w:rPr>
  </w:style>
  <w:style w:type="paragraph" w:styleId="BalloonText">
    <w:name w:val="Balloon Text"/>
    <w:basedOn w:val="Normal"/>
    <w:link w:val="BalloonTextChar"/>
    <w:uiPriority w:val="99"/>
    <w:semiHidden/>
    <w:unhideWhenUsed/>
    <w:rsid w:val="00695104"/>
    <w:rPr>
      <w:rFonts w:ascii="Tahoma" w:hAnsi="Tahoma" w:cs="Tahoma"/>
      <w:sz w:val="16"/>
      <w:szCs w:val="16"/>
    </w:rPr>
  </w:style>
  <w:style w:type="character" w:customStyle="1" w:styleId="BalloonTextChar">
    <w:name w:val="Balloon Text Char"/>
    <w:basedOn w:val="DefaultParagraphFont"/>
    <w:link w:val="BalloonText"/>
    <w:uiPriority w:val="99"/>
    <w:semiHidden/>
    <w:rsid w:val="00695104"/>
    <w:rPr>
      <w:rFonts w:ascii="Tahoma" w:eastAsia="Garamond"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aramond" w:eastAsia="Garamond" w:hAnsi="Garamond" w:cs="Garamond"/>
    </w:rPr>
  </w:style>
  <w:style w:type="paragraph" w:styleId="Heading1">
    <w:name w:val="heading 1"/>
    <w:basedOn w:val="Normal"/>
    <w:uiPriority w:val="1"/>
    <w:qFormat/>
    <w:pPr>
      <w:ind w:left="100" w:hanging="720"/>
      <w:outlineLvl w:val="0"/>
    </w:pPr>
    <w:rPr>
      <w:b/>
      <w:bCs/>
      <w:sz w:val="25"/>
      <w:szCs w:val="25"/>
    </w:rPr>
  </w:style>
  <w:style w:type="paragraph" w:styleId="Heading2">
    <w:name w:val="heading 2"/>
    <w:basedOn w:val="Normal"/>
    <w:uiPriority w:val="1"/>
    <w:qFormat/>
    <w:pPr>
      <w:ind w:left="120"/>
      <w:outlineLvl w:val="1"/>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720"/>
      <w:jc w:val="both"/>
    </w:pPr>
  </w:style>
  <w:style w:type="paragraph" w:customStyle="1" w:styleId="TableParagraph">
    <w:name w:val="Table Paragraph"/>
    <w:basedOn w:val="Normal"/>
    <w:uiPriority w:val="1"/>
    <w:qFormat/>
    <w:pPr>
      <w:spacing w:line="219" w:lineRule="exact"/>
    </w:pPr>
    <w:rPr>
      <w:rFonts w:ascii="Calibri" w:eastAsia="Calibri" w:hAnsi="Calibri" w:cs="Calibri"/>
    </w:rPr>
  </w:style>
  <w:style w:type="paragraph" w:styleId="BalloonText">
    <w:name w:val="Balloon Text"/>
    <w:basedOn w:val="Normal"/>
    <w:link w:val="BalloonTextChar"/>
    <w:uiPriority w:val="99"/>
    <w:semiHidden/>
    <w:unhideWhenUsed/>
    <w:rsid w:val="00695104"/>
    <w:rPr>
      <w:rFonts w:ascii="Tahoma" w:hAnsi="Tahoma" w:cs="Tahoma"/>
      <w:sz w:val="16"/>
      <w:szCs w:val="16"/>
    </w:rPr>
  </w:style>
  <w:style w:type="character" w:customStyle="1" w:styleId="BalloonTextChar">
    <w:name w:val="Balloon Text Char"/>
    <w:basedOn w:val="DefaultParagraphFont"/>
    <w:link w:val="BalloonText"/>
    <w:uiPriority w:val="99"/>
    <w:semiHidden/>
    <w:rsid w:val="00695104"/>
    <w:rPr>
      <w:rFonts w:ascii="Tahoma" w:eastAsia="Garamond"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po.gov/fdsys/granule/USCODE-2010-title10/USCODE-2010-title10-subtitleA-partII-chap31-sec504" TargetMode="External"/><Relationship Id="rId13" Type="http://schemas.openxmlformats.org/officeDocument/2006/relationships/hyperlink" Target="http://www.nber.org/papers/w13670.pdf" TargetMode="External"/><Relationship Id="rId18" Type="http://schemas.openxmlformats.org/officeDocument/2006/relationships/hyperlink" Target="http://www.mdrc.org/sites/default/files/full_451.pdf" TargetMode="External"/><Relationship Id="rId26" Type="http://schemas.openxmlformats.org/officeDocument/2006/relationships/hyperlink" Target="http://www.urban.org/sites/default/files/alfresco/publication-pdfs/412100-Life-after-Prison-Tracking-the-Experiences-of-Male-Prisoners-Returning-to-Chicago-Cleveland-and-Houston.PDF" TargetMode="External"/><Relationship Id="rId3" Type="http://schemas.microsoft.com/office/2007/relationships/stylesWithEffects" Target="stylesWithEffects.xml"/><Relationship Id="rId21" Type="http://schemas.openxmlformats.org/officeDocument/2006/relationships/hyperlink" Target="http://www.recruitingdivision.com/the-importance-of-conducting-background-checks-in-recruitment/" TargetMode="External"/><Relationship Id="rId7" Type="http://schemas.openxmlformats.org/officeDocument/2006/relationships/hyperlink" Target="https://www.gpo.gov/fdsys/granule/USCODE-2010-title10/USCODE-2010-title10-subtitleA-partII-chap31-sec504" TargetMode="External"/><Relationship Id="rId12" Type="http://schemas.openxmlformats.org/officeDocument/2006/relationships/hyperlink" Target="http://www.eeoc.gov/laws/guidance/arrest_conviction.cfm" TargetMode="External"/><Relationship Id="rId17" Type="http://schemas.openxmlformats.org/officeDocument/2006/relationships/hyperlink" Target="https://www.whitehouse.gov/the-press-office/2016/01/12/remarks-president-barack-obama-%E2%80%93-prepared-delivery-state-union-address" TargetMode="External"/><Relationship Id="rId25" Type="http://schemas.openxmlformats.org/officeDocument/2006/relationships/hyperlink" Target="http://www.urban.org/sites/default/files/alfresco/publication-pdfs/412100-Life-after-Prison-Tracking-the-Experiences-of-Male-Prisoners-Returning-to-Chicago-Cleveland-and-Houston.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whitehouse.gov/the-press-office/2016/01/12/remarks-president-barack-obama-%E2%80%93-prepared-delivery-state-union-address" TargetMode="External"/><Relationship Id="rId20" Type="http://schemas.openxmlformats.org/officeDocument/2006/relationships/hyperlink" Target="http://www.recruitingdivision.com/the-importance-of-conducting-background-checks-in-recruitment/"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www.nytimes.com/2007/02/20/opinion/20tues1.html?_r=0" TargetMode="External"/><Relationship Id="rId11" Type="http://schemas.openxmlformats.org/officeDocument/2006/relationships/hyperlink" Target="http://www.bjs.gov/content/pub/press/rprts05p0510pr.cfm" TargetMode="External"/><Relationship Id="rId24" Type="http://schemas.openxmlformats.org/officeDocument/2006/relationships/hyperlink" Target="http://www.socsci.umn.edu/%7Euggen/Uggen_asr_00.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hitehouse.gov/the-press-office/2016/01/12/remarks-president-barack-obama-%E2%80%93-prepared-delivery-state-union-address" TargetMode="External"/><Relationship Id="rId23" Type="http://schemas.openxmlformats.org/officeDocument/2006/relationships/hyperlink" Target="http://www.shrm.org/research/surveyfindings/articles/pages/criminalbackgroundcheck.aspx" TargetMode="External"/><Relationship Id="rId28" Type="http://schemas.openxmlformats.org/officeDocument/2006/relationships/hyperlink" Target="https://en.wikipedia.org/w/index.php?title=United_States_Armed_Forces&amp;amp;oldid=702171023" TargetMode="External"/><Relationship Id="rId10" Type="http://schemas.openxmlformats.org/officeDocument/2006/relationships/hyperlink" Target="http://www.bjs.gov/content/pub/press/rprts05p0510pr.cfm" TargetMode="External"/><Relationship Id="rId19" Type="http://schemas.openxmlformats.org/officeDocument/2006/relationships/hyperlink" Target="http://usmilitary.about.com/cs/joiningup/a/recruiter3.htm"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ncjrs.gov/pdffiles1/nij/grants/238082.pdf" TargetMode="External"/><Relationship Id="rId14" Type="http://schemas.openxmlformats.org/officeDocument/2006/relationships/hyperlink" Target="http://www.usatoday.com/story/money/business/2013/08/22/ten-largest-employers/2680249/" TargetMode="External"/><Relationship Id="rId22" Type="http://schemas.openxmlformats.org/officeDocument/2006/relationships/hyperlink" Target="http://psycnet.apa.org/psycinfo/1996-34567-001" TargetMode="External"/><Relationship Id="rId27" Type="http://schemas.openxmlformats.org/officeDocument/2006/relationships/hyperlink" Target="http://www.urban.org/sites/default/files/alfresco/publication-pdfs/412100-Life-after-Prison-Tracking-the-Experiences-of-Male-Prisoners-Returning-to-Chicago-Cleveland-and-Houston.PDF" TargetMode="External"/><Relationship Id="rId3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12527</Words>
  <Characters>71406</Characters>
  <Application>Microsoft Office Word</Application>
  <DocSecurity>8</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lundquist</dc:creator>
  <cp:lastModifiedBy>James Randisi</cp:lastModifiedBy>
  <cp:revision>3</cp:revision>
  <dcterms:created xsi:type="dcterms:W3CDTF">2016-07-03T22:26:00Z</dcterms:created>
  <dcterms:modified xsi:type="dcterms:W3CDTF">2016-07-03T22:28:00Z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2016-03-07T00:00:00Z</vt:filetime>
  </property>
  <property fmtid="{D5CDD505-2E9C-101B-9397-08002B2CF9AE}" pid="3" name="Creator">
    <vt:lpwstr>DocConverter http://www.activepdf.com</vt:lpwstr>
  </property>
  <property fmtid="{D5CDD505-2E9C-101B-9397-08002B2CF9AE}" pid="4" name="LastSaved">
    <vt:filetime>2016-06-29T00:00:00Z</vt:filetime>
  </property>
</Properties>
</file>