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94" w:rsidRDefault="002A1594">
      <w:pPr>
        <w:rPr>
          <w:rFonts w:ascii="Times New Roman" w:eastAsia="Times New Roman" w:hAnsi="Times New Roman" w:cs="Times New Roman"/>
          <w:sz w:val="20"/>
          <w:szCs w:val="20"/>
        </w:rPr>
      </w:pPr>
      <w:bookmarkStart w:id="0" w:name="_GoBack"/>
      <w:bookmarkEnd w:id="0"/>
    </w:p>
    <w:p w:rsidR="002A1594" w:rsidRDefault="002A1594">
      <w:pPr>
        <w:rPr>
          <w:rFonts w:ascii="Times New Roman" w:eastAsia="Times New Roman" w:hAnsi="Times New Roman" w:cs="Times New Roman"/>
          <w:sz w:val="20"/>
          <w:szCs w:val="20"/>
        </w:rPr>
      </w:pPr>
    </w:p>
    <w:p w:rsidR="002A1594" w:rsidRDefault="002A1594">
      <w:pPr>
        <w:rPr>
          <w:rFonts w:ascii="Times New Roman" w:eastAsia="Times New Roman" w:hAnsi="Times New Roman" w:cs="Times New Roman"/>
          <w:sz w:val="20"/>
          <w:szCs w:val="20"/>
        </w:rPr>
      </w:pPr>
    </w:p>
    <w:p w:rsidR="002A1594" w:rsidRDefault="002A1594">
      <w:pPr>
        <w:spacing w:before="9"/>
        <w:rPr>
          <w:rFonts w:ascii="Times New Roman" w:eastAsia="Times New Roman" w:hAnsi="Times New Roman" w:cs="Times New Roman"/>
          <w:sz w:val="17"/>
          <w:szCs w:val="17"/>
        </w:rPr>
      </w:pPr>
    </w:p>
    <w:p w:rsidR="002A1594" w:rsidRDefault="00073D1D">
      <w:pPr>
        <w:pStyle w:val="Heading3"/>
        <w:ind w:left="1952" w:right="1770" w:firstLine="427"/>
        <w:rPr>
          <w:b w:val="0"/>
          <w:bCs w:val="0"/>
        </w:rPr>
      </w:pPr>
      <w:bookmarkStart w:id="1" w:name="1_-_(Memornadum)_Grane.pdf"/>
      <w:bookmarkEnd w:id="1"/>
      <w:r>
        <w:t xml:space="preserve">IN THE UNITED </w:t>
      </w:r>
      <w:r>
        <w:rPr>
          <w:spacing w:val="-8"/>
        </w:rPr>
        <w:t xml:space="preserve">STATES </w:t>
      </w:r>
      <w:r>
        <w:t xml:space="preserve">DISTRICT </w:t>
      </w:r>
      <w:r>
        <w:rPr>
          <w:spacing w:val="-4"/>
        </w:rPr>
        <w:t xml:space="preserve">COURT </w:t>
      </w:r>
      <w:r>
        <w:t>FOR THE WESTERN DISTRICT OF</w:t>
      </w:r>
      <w:r>
        <w:rPr>
          <w:spacing w:val="6"/>
        </w:rPr>
        <w:t xml:space="preserve"> </w:t>
      </w:r>
      <w:r>
        <w:rPr>
          <w:spacing w:val="-6"/>
        </w:rPr>
        <w:t>PENNSYLVANIA</w:t>
      </w:r>
    </w:p>
    <w:p w:rsidR="002A1594" w:rsidRDefault="002A1594">
      <w:pPr>
        <w:spacing w:before="4"/>
        <w:rPr>
          <w:rFonts w:ascii="Palatino Linotype" w:eastAsia="Palatino Linotype" w:hAnsi="Palatino Linotype" w:cs="Palatino Linotype"/>
          <w:b/>
          <w:bCs/>
          <w:sz w:val="27"/>
          <w:szCs w:val="27"/>
        </w:rPr>
      </w:pPr>
    </w:p>
    <w:tbl>
      <w:tblPr>
        <w:tblW w:w="0" w:type="auto"/>
        <w:tblInd w:w="108" w:type="dxa"/>
        <w:tblLayout w:type="fixed"/>
        <w:tblCellMar>
          <w:left w:w="0" w:type="dxa"/>
          <w:right w:w="0" w:type="dxa"/>
        </w:tblCellMar>
        <w:tblLook w:val="01E0" w:firstRow="1" w:lastRow="1" w:firstColumn="1" w:lastColumn="1" w:noHBand="0" w:noVBand="0"/>
      </w:tblPr>
      <w:tblGrid>
        <w:gridCol w:w="4160"/>
        <w:gridCol w:w="881"/>
        <w:gridCol w:w="3612"/>
      </w:tblGrid>
      <w:tr w:rsidR="002A1594">
        <w:trPr>
          <w:trHeight w:hRule="exact" w:val="556"/>
        </w:trPr>
        <w:tc>
          <w:tcPr>
            <w:tcW w:w="4160" w:type="dxa"/>
            <w:tcBorders>
              <w:top w:val="nil"/>
              <w:left w:val="nil"/>
              <w:bottom w:val="nil"/>
              <w:right w:val="nil"/>
            </w:tcBorders>
          </w:tcPr>
          <w:p w:rsidR="002A1594" w:rsidRDefault="00073D1D">
            <w:pPr>
              <w:pStyle w:val="TableParagraph"/>
              <w:spacing w:line="225" w:lineRule="exact"/>
              <w:ind w:left="200"/>
              <w:rPr>
                <w:rFonts w:ascii="Palatino Linotype" w:eastAsia="Palatino Linotype" w:hAnsi="Palatino Linotype" w:cs="Palatino Linotype"/>
              </w:rPr>
            </w:pPr>
            <w:r>
              <w:rPr>
                <w:rFonts w:ascii="Palatino Linotype"/>
                <w:b/>
              </w:rPr>
              <w:t>EQUAL</w:t>
            </w:r>
            <w:r>
              <w:rPr>
                <w:rFonts w:ascii="Palatino Linotype"/>
                <w:b/>
                <w:spacing w:val="-5"/>
              </w:rPr>
              <w:t xml:space="preserve"> </w:t>
            </w:r>
            <w:r>
              <w:rPr>
                <w:rFonts w:ascii="Palatino Linotype"/>
                <w:b/>
              </w:rPr>
              <w:t>EMPLOYMENT</w:t>
            </w:r>
          </w:p>
          <w:p w:rsidR="002A1594" w:rsidRDefault="00073D1D">
            <w:pPr>
              <w:pStyle w:val="TableParagraph"/>
              <w:ind w:left="200"/>
              <w:rPr>
                <w:rFonts w:ascii="Palatino Linotype" w:eastAsia="Palatino Linotype" w:hAnsi="Palatino Linotype" w:cs="Palatino Linotype"/>
              </w:rPr>
            </w:pPr>
            <w:r>
              <w:rPr>
                <w:rFonts w:ascii="Palatino Linotype"/>
                <w:b/>
                <w:spacing w:val="-3"/>
              </w:rPr>
              <w:t>OPPORTUNITY</w:t>
            </w:r>
            <w:r>
              <w:rPr>
                <w:rFonts w:ascii="Palatino Linotype"/>
                <w:b/>
                <w:spacing w:val="10"/>
              </w:rPr>
              <w:t xml:space="preserve"> </w:t>
            </w:r>
            <w:r>
              <w:rPr>
                <w:rFonts w:ascii="Palatino Linotype"/>
                <w:b/>
              </w:rPr>
              <w:t>COMMISSION,</w:t>
            </w:r>
          </w:p>
        </w:tc>
        <w:tc>
          <w:tcPr>
            <w:tcW w:w="881" w:type="dxa"/>
            <w:tcBorders>
              <w:top w:val="nil"/>
              <w:left w:val="nil"/>
              <w:bottom w:val="nil"/>
              <w:right w:val="nil"/>
            </w:tcBorders>
          </w:tcPr>
          <w:p w:rsidR="002A1594" w:rsidRDefault="00073D1D">
            <w:pPr>
              <w:pStyle w:val="TableParagraph"/>
              <w:spacing w:line="225" w:lineRule="exact"/>
              <w:ind w:right="132"/>
              <w:jc w:val="center"/>
              <w:rPr>
                <w:rFonts w:ascii="Palatino Linotype" w:eastAsia="Palatino Linotype" w:hAnsi="Palatino Linotype" w:cs="Palatino Linotype"/>
              </w:rPr>
            </w:pPr>
            <w:r>
              <w:rPr>
                <w:rFonts w:ascii="Palatino Linotype"/>
                <w:b/>
              </w:rPr>
              <w:t>)</w:t>
            </w:r>
          </w:p>
          <w:p w:rsidR="002A1594" w:rsidRDefault="00073D1D">
            <w:pPr>
              <w:pStyle w:val="TableParagraph"/>
              <w:ind w:right="132"/>
              <w:jc w:val="center"/>
              <w:rPr>
                <w:rFonts w:ascii="Palatino Linotype" w:eastAsia="Palatino Linotype" w:hAnsi="Palatino Linotype" w:cs="Palatino Linotype"/>
              </w:rPr>
            </w:pPr>
            <w:r>
              <w:rPr>
                <w:rFonts w:ascii="Palatino Linotype"/>
                <w:b/>
              </w:rPr>
              <w:t>)</w:t>
            </w:r>
          </w:p>
        </w:tc>
        <w:tc>
          <w:tcPr>
            <w:tcW w:w="3612" w:type="dxa"/>
            <w:tcBorders>
              <w:top w:val="nil"/>
              <w:left w:val="nil"/>
              <w:bottom w:val="nil"/>
              <w:right w:val="nil"/>
            </w:tcBorders>
          </w:tcPr>
          <w:p w:rsidR="002A1594" w:rsidRDefault="002A1594"/>
        </w:tc>
      </w:tr>
      <w:tr w:rsidR="002A1594">
        <w:trPr>
          <w:trHeight w:hRule="exact" w:val="296"/>
        </w:trPr>
        <w:tc>
          <w:tcPr>
            <w:tcW w:w="4160" w:type="dxa"/>
            <w:tcBorders>
              <w:top w:val="nil"/>
              <w:left w:val="nil"/>
              <w:bottom w:val="nil"/>
              <w:right w:val="nil"/>
            </w:tcBorders>
          </w:tcPr>
          <w:p w:rsidR="002A1594" w:rsidRDefault="002A1594"/>
        </w:tc>
        <w:tc>
          <w:tcPr>
            <w:tcW w:w="881" w:type="dxa"/>
            <w:tcBorders>
              <w:top w:val="nil"/>
              <w:left w:val="nil"/>
              <w:bottom w:val="nil"/>
              <w:right w:val="nil"/>
            </w:tcBorders>
          </w:tcPr>
          <w:p w:rsidR="002A1594" w:rsidRDefault="00073D1D">
            <w:pPr>
              <w:pStyle w:val="TableParagraph"/>
              <w:spacing w:line="262" w:lineRule="exact"/>
              <w:ind w:left="336"/>
              <w:rPr>
                <w:rFonts w:ascii="Palatino Linotype" w:eastAsia="Palatino Linotype" w:hAnsi="Palatino Linotype" w:cs="Palatino Linotype"/>
              </w:rPr>
            </w:pPr>
            <w:r>
              <w:rPr>
                <w:rFonts w:ascii="Palatino Linotype"/>
                <w:b/>
              </w:rPr>
              <w:t>)</w:t>
            </w:r>
          </w:p>
        </w:tc>
        <w:tc>
          <w:tcPr>
            <w:tcW w:w="3612" w:type="dxa"/>
            <w:tcBorders>
              <w:top w:val="nil"/>
              <w:left w:val="nil"/>
              <w:bottom w:val="nil"/>
              <w:right w:val="nil"/>
            </w:tcBorders>
          </w:tcPr>
          <w:p w:rsidR="002A1594" w:rsidRDefault="00073D1D">
            <w:pPr>
              <w:pStyle w:val="TableParagraph"/>
              <w:spacing w:line="262" w:lineRule="exact"/>
              <w:ind w:left="471"/>
              <w:rPr>
                <w:rFonts w:ascii="Palatino Linotype" w:eastAsia="Palatino Linotype" w:hAnsi="Palatino Linotype" w:cs="Palatino Linotype"/>
              </w:rPr>
            </w:pPr>
            <w:r>
              <w:rPr>
                <w:rFonts w:ascii="Palatino Linotype"/>
                <w:b/>
              </w:rPr>
              <w:t>CIVIL ACTION NO.</w:t>
            </w:r>
            <w:r>
              <w:rPr>
                <w:rFonts w:ascii="Palatino Linotype"/>
                <w:b/>
                <w:spacing w:val="-8"/>
              </w:rPr>
              <w:t xml:space="preserve"> </w:t>
            </w:r>
            <w:r>
              <w:rPr>
                <w:rFonts w:ascii="Palatino Linotype"/>
                <w:b/>
              </w:rPr>
              <w:t>3:10-250</w:t>
            </w:r>
          </w:p>
        </w:tc>
      </w:tr>
      <w:tr w:rsidR="002A1594">
        <w:trPr>
          <w:trHeight w:hRule="exact" w:val="298"/>
        </w:trPr>
        <w:tc>
          <w:tcPr>
            <w:tcW w:w="4160" w:type="dxa"/>
            <w:tcBorders>
              <w:top w:val="nil"/>
              <w:left w:val="nil"/>
              <w:bottom w:val="nil"/>
              <w:right w:val="nil"/>
            </w:tcBorders>
          </w:tcPr>
          <w:p w:rsidR="002A1594" w:rsidRDefault="00073D1D">
            <w:pPr>
              <w:pStyle w:val="TableParagraph"/>
              <w:spacing w:line="263" w:lineRule="exact"/>
              <w:ind w:left="2359"/>
              <w:rPr>
                <w:rFonts w:ascii="Palatino Linotype" w:eastAsia="Palatino Linotype" w:hAnsi="Palatino Linotype" w:cs="Palatino Linotype"/>
              </w:rPr>
            </w:pPr>
            <w:r>
              <w:rPr>
                <w:rFonts w:ascii="Palatino Linotype"/>
                <w:b/>
              </w:rPr>
              <w:t>Plaintiff,</w:t>
            </w:r>
          </w:p>
        </w:tc>
        <w:tc>
          <w:tcPr>
            <w:tcW w:w="881" w:type="dxa"/>
            <w:tcBorders>
              <w:top w:val="nil"/>
              <w:left w:val="nil"/>
              <w:bottom w:val="nil"/>
              <w:right w:val="nil"/>
            </w:tcBorders>
          </w:tcPr>
          <w:p w:rsidR="002A1594" w:rsidRDefault="00073D1D">
            <w:pPr>
              <w:pStyle w:val="TableParagraph"/>
              <w:spacing w:line="263" w:lineRule="exact"/>
              <w:ind w:left="336"/>
              <w:rPr>
                <w:rFonts w:ascii="Palatino Linotype" w:eastAsia="Palatino Linotype" w:hAnsi="Palatino Linotype" w:cs="Palatino Linotype"/>
              </w:rPr>
            </w:pPr>
            <w:r>
              <w:rPr>
                <w:rFonts w:ascii="Palatino Linotype"/>
                <w:b/>
              </w:rPr>
              <w:t>)</w:t>
            </w:r>
          </w:p>
        </w:tc>
        <w:tc>
          <w:tcPr>
            <w:tcW w:w="3612" w:type="dxa"/>
            <w:tcBorders>
              <w:top w:val="nil"/>
              <w:left w:val="nil"/>
              <w:bottom w:val="nil"/>
              <w:right w:val="nil"/>
            </w:tcBorders>
          </w:tcPr>
          <w:p w:rsidR="002A1594" w:rsidRDefault="002A1594"/>
        </w:tc>
      </w:tr>
      <w:tr w:rsidR="002A1594">
        <w:trPr>
          <w:trHeight w:hRule="exact" w:val="296"/>
        </w:trPr>
        <w:tc>
          <w:tcPr>
            <w:tcW w:w="4160" w:type="dxa"/>
            <w:tcBorders>
              <w:top w:val="nil"/>
              <w:left w:val="nil"/>
              <w:bottom w:val="nil"/>
              <w:right w:val="nil"/>
            </w:tcBorders>
          </w:tcPr>
          <w:p w:rsidR="002A1594" w:rsidRDefault="002A1594"/>
        </w:tc>
        <w:tc>
          <w:tcPr>
            <w:tcW w:w="881" w:type="dxa"/>
            <w:tcBorders>
              <w:top w:val="nil"/>
              <w:left w:val="nil"/>
              <w:bottom w:val="nil"/>
              <w:right w:val="nil"/>
            </w:tcBorders>
          </w:tcPr>
          <w:p w:rsidR="002A1594" w:rsidRDefault="00073D1D">
            <w:pPr>
              <w:pStyle w:val="TableParagraph"/>
              <w:spacing w:line="263" w:lineRule="exact"/>
              <w:ind w:left="336"/>
              <w:rPr>
                <w:rFonts w:ascii="Palatino Linotype" w:eastAsia="Palatino Linotype" w:hAnsi="Palatino Linotype" w:cs="Palatino Linotype"/>
              </w:rPr>
            </w:pPr>
            <w:r>
              <w:rPr>
                <w:rFonts w:ascii="Palatino Linotype"/>
                <w:b/>
              </w:rPr>
              <w:t>)</w:t>
            </w:r>
          </w:p>
        </w:tc>
        <w:tc>
          <w:tcPr>
            <w:tcW w:w="3612" w:type="dxa"/>
            <w:tcBorders>
              <w:top w:val="nil"/>
              <w:left w:val="nil"/>
              <w:bottom w:val="nil"/>
              <w:right w:val="nil"/>
            </w:tcBorders>
          </w:tcPr>
          <w:p w:rsidR="002A1594" w:rsidRDefault="00073D1D">
            <w:pPr>
              <w:pStyle w:val="TableParagraph"/>
              <w:spacing w:line="263" w:lineRule="exact"/>
              <w:ind w:left="471"/>
              <w:rPr>
                <w:rFonts w:ascii="Palatino Linotype" w:eastAsia="Palatino Linotype" w:hAnsi="Palatino Linotype" w:cs="Palatino Linotype"/>
              </w:rPr>
            </w:pPr>
            <w:r>
              <w:rPr>
                <w:rFonts w:ascii="Palatino Linotype"/>
                <w:b/>
              </w:rPr>
              <w:t>JUDGE KIM R.</w:t>
            </w:r>
            <w:r>
              <w:rPr>
                <w:rFonts w:ascii="Palatino Linotype"/>
                <w:b/>
                <w:spacing w:val="-10"/>
              </w:rPr>
              <w:t xml:space="preserve"> </w:t>
            </w:r>
            <w:r>
              <w:rPr>
                <w:rFonts w:ascii="Palatino Linotype"/>
                <w:b/>
              </w:rPr>
              <w:t>GIBSON</w:t>
            </w:r>
          </w:p>
        </w:tc>
      </w:tr>
      <w:tr w:rsidR="002A1594">
        <w:trPr>
          <w:trHeight w:hRule="exact" w:val="296"/>
        </w:trPr>
        <w:tc>
          <w:tcPr>
            <w:tcW w:w="4160" w:type="dxa"/>
            <w:tcBorders>
              <w:top w:val="nil"/>
              <w:left w:val="nil"/>
              <w:bottom w:val="nil"/>
              <w:right w:val="nil"/>
            </w:tcBorders>
          </w:tcPr>
          <w:p w:rsidR="002A1594" w:rsidRDefault="00073D1D">
            <w:pPr>
              <w:pStyle w:val="TableParagraph"/>
              <w:spacing w:line="262" w:lineRule="exact"/>
              <w:ind w:left="919"/>
              <w:rPr>
                <w:rFonts w:ascii="Palatino Linotype" w:eastAsia="Palatino Linotype" w:hAnsi="Palatino Linotype" w:cs="Palatino Linotype"/>
              </w:rPr>
            </w:pPr>
            <w:r>
              <w:rPr>
                <w:rFonts w:ascii="Palatino Linotype"/>
                <w:b/>
                <w:spacing w:val="-25"/>
              </w:rPr>
              <w:t>v.</w:t>
            </w:r>
          </w:p>
        </w:tc>
        <w:tc>
          <w:tcPr>
            <w:tcW w:w="881" w:type="dxa"/>
            <w:tcBorders>
              <w:top w:val="nil"/>
              <w:left w:val="nil"/>
              <w:bottom w:val="nil"/>
              <w:right w:val="nil"/>
            </w:tcBorders>
          </w:tcPr>
          <w:p w:rsidR="002A1594" w:rsidRDefault="00073D1D">
            <w:pPr>
              <w:pStyle w:val="TableParagraph"/>
              <w:spacing w:line="262" w:lineRule="exact"/>
              <w:ind w:left="336"/>
              <w:rPr>
                <w:rFonts w:ascii="Palatino Linotype" w:eastAsia="Palatino Linotype" w:hAnsi="Palatino Linotype" w:cs="Palatino Linotype"/>
              </w:rPr>
            </w:pPr>
            <w:r>
              <w:rPr>
                <w:rFonts w:ascii="Palatino Linotype"/>
                <w:b/>
              </w:rPr>
              <w:t>)</w:t>
            </w:r>
          </w:p>
        </w:tc>
        <w:tc>
          <w:tcPr>
            <w:tcW w:w="3612" w:type="dxa"/>
            <w:tcBorders>
              <w:top w:val="nil"/>
              <w:left w:val="nil"/>
              <w:bottom w:val="nil"/>
              <w:right w:val="nil"/>
            </w:tcBorders>
          </w:tcPr>
          <w:p w:rsidR="002A1594" w:rsidRDefault="002A1594"/>
        </w:tc>
      </w:tr>
      <w:tr w:rsidR="002A1594">
        <w:trPr>
          <w:trHeight w:hRule="exact" w:val="298"/>
        </w:trPr>
        <w:tc>
          <w:tcPr>
            <w:tcW w:w="4160" w:type="dxa"/>
            <w:tcBorders>
              <w:top w:val="nil"/>
              <w:left w:val="nil"/>
              <w:bottom w:val="nil"/>
              <w:right w:val="nil"/>
            </w:tcBorders>
          </w:tcPr>
          <w:p w:rsidR="002A1594" w:rsidRDefault="002A1594"/>
        </w:tc>
        <w:tc>
          <w:tcPr>
            <w:tcW w:w="881" w:type="dxa"/>
            <w:tcBorders>
              <w:top w:val="nil"/>
              <w:left w:val="nil"/>
              <w:bottom w:val="nil"/>
              <w:right w:val="nil"/>
            </w:tcBorders>
          </w:tcPr>
          <w:p w:rsidR="002A1594" w:rsidRDefault="00073D1D">
            <w:pPr>
              <w:pStyle w:val="TableParagraph"/>
              <w:spacing w:line="263" w:lineRule="exact"/>
              <w:ind w:left="336"/>
              <w:rPr>
                <w:rFonts w:ascii="Palatino Linotype" w:eastAsia="Palatino Linotype" w:hAnsi="Palatino Linotype" w:cs="Palatino Linotype"/>
              </w:rPr>
            </w:pPr>
            <w:r>
              <w:rPr>
                <w:rFonts w:ascii="Palatino Linotype"/>
                <w:b/>
              </w:rPr>
              <w:t>)</w:t>
            </w:r>
          </w:p>
        </w:tc>
        <w:tc>
          <w:tcPr>
            <w:tcW w:w="3612" w:type="dxa"/>
            <w:tcBorders>
              <w:top w:val="nil"/>
              <w:left w:val="nil"/>
              <w:bottom w:val="nil"/>
              <w:right w:val="nil"/>
            </w:tcBorders>
          </w:tcPr>
          <w:p w:rsidR="002A1594" w:rsidRDefault="002A1594"/>
        </w:tc>
      </w:tr>
      <w:tr w:rsidR="002A1594">
        <w:trPr>
          <w:trHeight w:hRule="exact" w:val="891"/>
        </w:trPr>
        <w:tc>
          <w:tcPr>
            <w:tcW w:w="4160" w:type="dxa"/>
            <w:tcBorders>
              <w:top w:val="nil"/>
              <w:left w:val="nil"/>
              <w:bottom w:val="nil"/>
              <w:right w:val="nil"/>
            </w:tcBorders>
          </w:tcPr>
          <w:p w:rsidR="002A1594" w:rsidRDefault="00073D1D">
            <w:pPr>
              <w:pStyle w:val="TableParagraph"/>
              <w:spacing w:line="262" w:lineRule="exact"/>
              <w:ind w:left="200"/>
              <w:rPr>
                <w:rFonts w:ascii="Palatino Linotype" w:eastAsia="Palatino Linotype" w:hAnsi="Palatino Linotype" w:cs="Palatino Linotype"/>
              </w:rPr>
            </w:pPr>
            <w:r>
              <w:rPr>
                <w:rFonts w:ascii="Palatino Linotype"/>
                <w:b/>
              </w:rPr>
              <w:t xml:space="preserve">GRANE </w:t>
            </w:r>
            <w:r>
              <w:rPr>
                <w:rFonts w:ascii="Palatino Linotype"/>
                <w:b/>
                <w:spacing w:val="-3"/>
              </w:rPr>
              <w:t xml:space="preserve">HEALTHCARE </w:t>
            </w:r>
            <w:r>
              <w:rPr>
                <w:rFonts w:ascii="Palatino Linotype"/>
                <w:b/>
              </w:rPr>
              <w:t>CO.</w:t>
            </w:r>
            <w:r>
              <w:rPr>
                <w:rFonts w:ascii="Palatino Linotype"/>
                <w:b/>
                <w:spacing w:val="7"/>
              </w:rPr>
              <w:t xml:space="preserve"> </w:t>
            </w:r>
            <w:r>
              <w:rPr>
                <w:rFonts w:ascii="Palatino Linotype"/>
                <w:b/>
              </w:rPr>
              <w:t>and</w:t>
            </w:r>
          </w:p>
          <w:p w:rsidR="002A1594" w:rsidRDefault="00073D1D">
            <w:pPr>
              <w:pStyle w:val="TableParagraph"/>
              <w:ind w:left="200" w:right="334"/>
              <w:rPr>
                <w:rFonts w:ascii="Palatino Linotype" w:eastAsia="Palatino Linotype" w:hAnsi="Palatino Linotype" w:cs="Palatino Linotype"/>
              </w:rPr>
            </w:pPr>
            <w:r>
              <w:rPr>
                <w:rFonts w:ascii="Palatino Linotype"/>
                <w:b/>
              </w:rPr>
              <w:t>EBENSBURG CARE CENTER, LLC, d/b/a CAMBRIA CARE</w:t>
            </w:r>
            <w:r>
              <w:rPr>
                <w:rFonts w:ascii="Palatino Linotype"/>
                <w:b/>
                <w:spacing w:val="-9"/>
              </w:rPr>
              <w:t xml:space="preserve"> </w:t>
            </w:r>
            <w:r>
              <w:rPr>
                <w:rFonts w:ascii="Palatino Linotype"/>
                <w:b/>
              </w:rPr>
              <w:t>CENTER,</w:t>
            </w:r>
          </w:p>
        </w:tc>
        <w:tc>
          <w:tcPr>
            <w:tcW w:w="881" w:type="dxa"/>
            <w:tcBorders>
              <w:top w:val="nil"/>
              <w:left w:val="nil"/>
              <w:bottom w:val="nil"/>
              <w:right w:val="nil"/>
            </w:tcBorders>
          </w:tcPr>
          <w:p w:rsidR="002A1594" w:rsidRDefault="00073D1D">
            <w:pPr>
              <w:pStyle w:val="TableParagraph"/>
              <w:spacing w:line="262" w:lineRule="exact"/>
              <w:ind w:right="132"/>
              <w:jc w:val="center"/>
              <w:rPr>
                <w:rFonts w:ascii="Palatino Linotype" w:eastAsia="Palatino Linotype" w:hAnsi="Palatino Linotype" w:cs="Palatino Linotype"/>
              </w:rPr>
            </w:pPr>
            <w:r>
              <w:rPr>
                <w:rFonts w:ascii="Palatino Linotype"/>
                <w:b/>
              </w:rPr>
              <w:t>)</w:t>
            </w:r>
          </w:p>
          <w:p w:rsidR="002A1594" w:rsidRDefault="00073D1D">
            <w:pPr>
              <w:pStyle w:val="TableParagraph"/>
              <w:spacing w:line="296" w:lineRule="exact"/>
              <w:ind w:right="132"/>
              <w:jc w:val="center"/>
              <w:rPr>
                <w:rFonts w:ascii="Palatino Linotype" w:eastAsia="Palatino Linotype" w:hAnsi="Palatino Linotype" w:cs="Palatino Linotype"/>
              </w:rPr>
            </w:pPr>
            <w:r>
              <w:rPr>
                <w:rFonts w:ascii="Palatino Linotype"/>
                <w:b/>
              </w:rPr>
              <w:t>)</w:t>
            </w:r>
          </w:p>
          <w:p w:rsidR="002A1594" w:rsidRDefault="00073D1D">
            <w:pPr>
              <w:pStyle w:val="TableParagraph"/>
              <w:spacing w:before="1"/>
              <w:ind w:right="132"/>
              <w:jc w:val="center"/>
              <w:rPr>
                <w:rFonts w:ascii="Palatino Linotype" w:eastAsia="Palatino Linotype" w:hAnsi="Palatino Linotype" w:cs="Palatino Linotype"/>
              </w:rPr>
            </w:pPr>
            <w:r>
              <w:rPr>
                <w:rFonts w:ascii="Palatino Linotype"/>
                <w:b/>
              </w:rPr>
              <w:t>)</w:t>
            </w:r>
          </w:p>
        </w:tc>
        <w:tc>
          <w:tcPr>
            <w:tcW w:w="3612" w:type="dxa"/>
            <w:tcBorders>
              <w:top w:val="nil"/>
              <w:left w:val="nil"/>
              <w:bottom w:val="nil"/>
              <w:right w:val="nil"/>
            </w:tcBorders>
          </w:tcPr>
          <w:p w:rsidR="002A1594" w:rsidRDefault="002A1594"/>
        </w:tc>
      </w:tr>
      <w:tr w:rsidR="002A1594">
        <w:trPr>
          <w:trHeight w:hRule="exact" w:val="296"/>
        </w:trPr>
        <w:tc>
          <w:tcPr>
            <w:tcW w:w="4160" w:type="dxa"/>
            <w:tcBorders>
              <w:top w:val="nil"/>
              <w:left w:val="nil"/>
              <w:bottom w:val="nil"/>
              <w:right w:val="nil"/>
            </w:tcBorders>
          </w:tcPr>
          <w:p w:rsidR="002A1594" w:rsidRDefault="002A1594"/>
        </w:tc>
        <w:tc>
          <w:tcPr>
            <w:tcW w:w="881" w:type="dxa"/>
            <w:tcBorders>
              <w:top w:val="nil"/>
              <w:left w:val="nil"/>
              <w:bottom w:val="nil"/>
              <w:right w:val="nil"/>
            </w:tcBorders>
          </w:tcPr>
          <w:p w:rsidR="002A1594" w:rsidRDefault="00073D1D">
            <w:pPr>
              <w:pStyle w:val="TableParagraph"/>
              <w:spacing w:line="263" w:lineRule="exact"/>
              <w:ind w:left="336"/>
              <w:rPr>
                <w:rFonts w:ascii="Palatino Linotype" w:eastAsia="Palatino Linotype" w:hAnsi="Palatino Linotype" w:cs="Palatino Linotype"/>
              </w:rPr>
            </w:pPr>
            <w:r>
              <w:rPr>
                <w:rFonts w:ascii="Palatino Linotype"/>
                <w:b/>
              </w:rPr>
              <w:t>)</w:t>
            </w:r>
          </w:p>
        </w:tc>
        <w:tc>
          <w:tcPr>
            <w:tcW w:w="3612" w:type="dxa"/>
            <w:tcBorders>
              <w:top w:val="nil"/>
              <w:left w:val="nil"/>
              <w:bottom w:val="nil"/>
              <w:right w:val="nil"/>
            </w:tcBorders>
          </w:tcPr>
          <w:p w:rsidR="002A1594" w:rsidRDefault="002A1594"/>
        </w:tc>
      </w:tr>
      <w:tr w:rsidR="002A1594">
        <w:trPr>
          <w:trHeight w:hRule="exact" w:val="258"/>
        </w:trPr>
        <w:tc>
          <w:tcPr>
            <w:tcW w:w="4160" w:type="dxa"/>
            <w:tcBorders>
              <w:top w:val="nil"/>
              <w:left w:val="nil"/>
              <w:bottom w:val="nil"/>
              <w:right w:val="nil"/>
            </w:tcBorders>
          </w:tcPr>
          <w:p w:rsidR="002A1594" w:rsidRDefault="00073D1D">
            <w:pPr>
              <w:pStyle w:val="TableParagraph"/>
              <w:spacing w:line="262" w:lineRule="exact"/>
              <w:ind w:left="2359"/>
              <w:rPr>
                <w:rFonts w:ascii="Palatino Linotype" w:eastAsia="Palatino Linotype" w:hAnsi="Palatino Linotype" w:cs="Palatino Linotype"/>
              </w:rPr>
            </w:pPr>
            <w:r>
              <w:rPr>
                <w:rFonts w:ascii="Palatino Linotype"/>
                <w:b/>
              </w:rPr>
              <w:t>Defendants.</w:t>
            </w:r>
          </w:p>
        </w:tc>
        <w:tc>
          <w:tcPr>
            <w:tcW w:w="881" w:type="dxa"/>
            <w:tcBorders>
              <w:top w:val="nil"/>
              <w:left w:val="nil"/>
              <w:bottom w:val="nil"/>
              <w:right w:val="nil"/>
            </w:tcBorders>
          </w:tcPr>
          <w:p w:rsidR="002A1594" w:rsidRDefault="00073D1D">
            <w:pPr>
              <w:pStyle w:val="TableParagraph"/>
              <w:spacing w:line="262" w:lineRule="exact"/>
              <w:ind w:left="336"/>
              <w:rPr>
                <w:rFonts w:ascii="Palatino Linotype" w:eastAsia="Palatino Linotype" w:hAnsi="Palatino Linotype" w:cs="Palatino Linotype"/>
              </w:rPr>
            </w:pPr>
            <w:r>
              <w:rPr>
                <w:rFonts w:ascii="Palatino Linotype"/>
                <w:b/>
              </w:rPr>
              <w:t>)</w:t>
            </w:r>
          </w:p>
        </w:tc>
        <w:tc>
          <w:tcPr>
            <w:tcW w:w="3612" w:type="dxa"/>
            <w:tcBorders>
              <w:top w:val="nil"/>
              <w:left w:val="nil"/>
              <w:bottom w:val="nil"/>
              <w:right w:val="nil"/>
            </w:tcBorders>
          </w:tcPr>
          <w:p w:rsidR="002A1594" w:rsidRDefault="002A1594"/>
        </w:tc>
      </w:tr>
    </w:tbl>
    <w:p w:rsidR="002A1594" w:rsidRDefault="002A1594">
      <w:pPr>
        <w:spacing w:before="1"/>
        <w:rPr>
          <w:rFonts w:ascii="Palatino Linotype" w:eastAsia="Palatino Linotype" w:hAnsi="Palatino Linotype" w:cs="Palatino Linotype"/>
          <w:b/>
          <w:bCs/>
          <w:sz w:val="16"/>
          <w:szCs w:val="16"/>
        </w:rPr>
      </w:pPr>
    </w:p>
    <w:p w:rsidR="002A1594" w:rsidRDefault="00073D1D">
      <w:pPr>
        <w:spacing w:before="28"/>
        <w:ind w:left="3232" w:right="1770"/>
        <w:rPr>
          <w:rFonts w:ascii="Palatino Linotype" w:eastAsia="Palatino Linotype" w:hAnsi="Palatino Linotype" w:cs="Palatino Linotype"/>
        </w:rPr>
      </w:pPr>
      <w:r>
        <w:rPr>
          <w:rFonts w:ascii="Palatino Linotype"/>
          <w:b/>
          <w:u w:val="single" w:color="000000"/>
        </w:rPr>
        <w:t>MEMORANDUM</w:t>
      </w:r>
      <w:r>
        <w:rPr>
          <w:rFonts w:ascii="Palatino Linotype"/>
          <w:b/>
          <w:spacing w:val="-10"/>
          <w:u w:val="single" w:color="000000"/>
        </w:rPr>
        <w:t xml:space="preserve"> </w:t>
      </w:r>
      <w:r>
        <w:rPr>
          <w:rFonts w:ascii="Palatino Linotype"/>
          <w:b/>
          <w:u w:val="single" w:color="000000"/>
        </w:rPr>
        <w:t>OPINION</w:t>
      </w:r>
    </w:p>
    <w:p w:rsidR="002A1594" w:rsidRDefault="002A1594">
      <w:pPr>
        <w:spacing w:before="12"/>
        <w:rPr>
          <w:rFonts w:ascii="Palatino Linotype" w:eastAsia="Palatino Linotype" w:hAnsi="Palatino Linotype" w:cs="Palatino Linotype"/>
          <w:b/>
          <w:bCs/>
          <w:sz w:val="19"/>
          <w:szCs w:val="19"/>
        </w:rPr>
      </w:pPr>
    </w:p>
    <w:p w:rsidR="002A1594" w:rsidRDefault="00073D1D">
      <w:pPr>
        <w:pStyle w:val="ListParagraph"/>
        <w:numPr>
          <w:ilvl w:val="0"/>
          <w:numId w:val="3"/>
        </w:numPr>
        <w:tabs>
          <w:tab w:val="left" w:pos="1029"/>
        </w:tabs>
        <w:spacing w:before="28"/>
        <w:jc w:val="left"/>
        <w:rPr>
          <w:rFonts w:ascii="Palatino Linotype" w:eastAsia="Palatino Linotype" w:hAnsi="Palatino Linotype" w:cs="Palatino Linotype"/>
        </w:rPr>
      </w:pPr>
      <w:r>
        <w:rPr>
          <w:rFonts w:ascii="Palatino Linotype"/>
          <w:b/>
        </w:rPr>
        <w:t>INTRODUCTION</w:t>
      </w:r>
    </w:p>
    <w:p w:rsidR="002A1594" w:rsidRDefault="002A1594">
      <w:pPr>
        <w:spacing w:before="2"/>
        <w:rPr>
          <w:rFonts w:ascii="Palatino Linotype" w:eastAsia="Palatino Linotype" w:hAnsi="Palatino Linotype" w:cs="Palatino Linotype"/>
          <w:b/>
          <w:bCs/>
        </w:rPr>
      </w:pPr>
    </w:p>
    <w:p w:rsidR="002A1594" w:rsidRDefault="00073D1D">
      <w:pPr>
        <w:pStyle w:val="BodyText"/>
        <w:spacing w:before="0" w:line="480" w:lineRule="auto"/>
        <w:ind w:left="308" w:right="109" w:firstLine="719"/>
        <w:jc w:val="both"/>
      </w:pPr>
      <w:r>
        <w:t xml:space="preserve">This matter comes before the Court on cross-motions for summary judgment filed by the parties pursuant to Fed. R. </w:t>
      </w:r>
      <w:r>
        <w:rPr>
          <w:spacing w:val="-7"/>
        </w:rPr>
        <w:t xml:space="preserve">Civ. </w:t>
      </w:r>
      <w:r>
        <w:t xml:space="preserve">Pro. 56. (ECF Nos. 92, 95). The </w:t>
      </w:r>
      <w:proofErr w:type="gramStart"/>
      <w:r>
        <w:t>Plaintiff  seeks</w:t>
      </w:r>
      <w:proofErr w:type="gramEnd"/>
      <w:r>
        <w:t xml:space="preserve">  partial summary judgment on threshold issues relating to </w:t>
      </w:r>
      <w:r>
        <w:rPr>
          <w:spacing w:val="-4"/>
        </w:rPr>
        <w:t xml:space="preserve">liability. </w:t>
      </w:r>
      <w:r>
        <w:t xml:space="preserve">(ECF No. 95). </w:t>
      </w:r>
      <w:r>
        <w:rPr>
          <w:spacing w:val="-2"/>
        </w:rPr>
        <w:t xml:space="preserve">The </w:t>
      </w:r>
      <w:r>
        <w:t xml:space="preserve">Defendants </w:t>
      </w:r>
      <w:r>
        <w:rPr>
          <w:spacing w:val="-3"/>
        </w:rPr>
        <w:t xml:space="preserve">move </w:t>
      </w:r>
      <w:r>
        <w:t>for summary judgment with respect to all claims brought against them. (ECF No. 92)</w:t>
      </w:r>
      <w:r>
        <w:rPr>
          <w:rFonts w:cs="Palatino Linotype"/>
        </w:rPr>
        <w:t xml:space="preserve">. For the reasons that </w:t>
      </w:r>
      <w:r>
        <w:rPr>
          <w:rFonts w:cs="Palatino Linotype"/>
          <w:spacing w:val="-4"/>
        </w:rPr>
        <w:t xml:space="preserve">follow, </w:t>
      </w:r>
      <w:r>
        <w:rPr>
          <w:rFonts w:cs="Palatino Linotype"/>
        </w:rPr>
        <w:t xml:space="preserve">the Plaintiff’s motion for </w:t>
      </w:r>
      <w:r>
        <w:t xml:space="preserve">partial summary </w:t>
      </w:r>
      <w:proofErr w:type="gramStart"/>
      <w:r>
        <w:t>judgment</w:t>
      </w:r>
      <w:proofErr w:type="gramEnd"/>
      <w:r>
        <w:t xml:space="preserve"> (ECF No. 95) will be granted in part and denied in part</w:t>
      </w:r>
      <w:r>
        <w:rPr>
          <w:rFonts w:cs="Palatino Linotype"/>
        </w:rPr>
        <w:t xml:space="preserve">, and the Defendants’ </w:t>
      </w:r>
      <w:r>
        <w:t>motion for summary judgment (ECF No. 92) will be</w:t>
      </w:r>
      <w:r>
        <w:rPr>
          <w:spacing w:val="-20"/>
        </w:rPr>
        <w:t xml:space="preserve"> </w:t>
      </w:r>
      <w:r>
        <w:t>denied.</w:t>
      </w:r>
    </w:p>
    <w:p w:rsidR="002A1594" w:rsidRDefault="002A1594">
      <w:pPr>
        <w:spacing w:before="10"/>
        <w:rPr>
          <w:rFonts w:ascii="Palatino Linotype" w:eastAsia="Palatino Linotype" w:hAnsi="Palatino Linotype" w:cs="Palatino Linotype"/>
          <w:sz w:val="17"/>
          <w:szCs w:val="17"/>
        </w:rPr>
      </w:pPr>
    </w:p>
    <w:p w:rsidR="002A1594" w:rsidRDefault="00073D1D">
      <w:pPr>
        <w:pStyle w:val="Heading3"/>
        <w:numPr>
          <w:ilvl w:val="0"/>
          <w:numId w:val="3"/>
        </w:numPr>
        <w:tabs>
          <w:tab w:val="left" w:pos="1029"/>
        </w:tabs>
        <w:jc w:val="left"/>
        <w:rPr>
          <w:b w:val="0"/>
          <w:bCs w:val="0"/>
        </w:rPr>
      </w:pPr>
      <w:r>
        <w:t>BACKGROUND</w:t>
      </w:r>
    </w:p>
    <w:p w:rsidR="002A1594" w:rsidRDefault="002A1594">
      <w:pPr>
        <w:spacing w:before="13"/>
        <w:rPr>
          <w:rFonts w:ascii="Palatino Linotype" w:eastAsia="Palatino Linotype" w:hAnsi="Palatino Linotype" w:cs="Palatino Linotype"/>
          <w:b/>
          <w:bCs/>
          <w:sz w:val="21"/>
          <w:szCs w:val="21"/>
        </w:rPr>
      </w:pPr>
    </w:p>
    <w:p w:rsidR="002A1594" w:rsidRDefault="00073D1D">
      <w:pPr>
        <w:pStyle w:val="BodyText"/>
        <w:spacing w:before="0" w:line="480" w:lineRule="auto"/>
        <w:ind w:left="308" w:right="121" w:firstLine="719"/>
        <w:jc w:val="both"/>
      </w:pPr>
      <w:proofErr w:type="spellStart"/>
      <w:r>
        <w:rPr>
          <w:rFonts w:cs="Palatino Linotype"/>
        </w:rPr>
        <w:t>Grane</w:t>
      </w:r>
      <w:proofErr w:type="spellEnd"/>
      <w:r>
        <w:rPr>
          <w:rFonts w:cs="Palatino Linotype"/>
        </w:rPr>
        <w:t xml:space="preserve"> Healthcare Company (</w:t>
      </w:r>
      <w:r>
        <w:rPr>
          <w:rFonts w:cs="Palatino Linotype"/>
        </w:rPr>
        <w:t>“</w:t>
      </w:r>
      <w:proofErr w:type="spellStart"/>
      <w:r>
        <w:rPr>
          <w:rFonts w:cs="Palatino Linotype"/>
        </w:rPr>
        <w:t>Grane</w:t>
      </w:r>
      <w:proofErr w:type="spellEnd"/>
      <w:r>
        <w:rPr>
          <w:rFonts w:cs="Palatino Linotype"/>
        </w:rPr>
        <w:t xml:space="preserve">”) is an organization maintaining </w:t>
      </w:r>
      <w:r>
        <w:t xml:space="preserve">management contracts with several different entities. (ECF No. 115 at 1-2 ¶ 1.) Ross </w:t>
      </w:r>
      <w:proofErr w:type="spellStart"/>
      <w:r>
        <w:t>Nese</w:t>
      </w:r>
      <w:proofErr w:type="spellEnd"/>
      <w:r>
        <w:t xml:space="preserve"> </w:t>
      </w:r>
      <w:r>
        <w:rPr>
          <w:rFonts w:cs="Palatino Linotype"/>
        </w:rPr>
        <w:t>(“</w:t>
      </w:r>
      <w:proofErr w:type="spellStart"/>
      <w:r>
        <w:rPr>
          <w:rFonts w:cs="Palatino Linotype"/>
        </w:rPr>
        <w:t>Nese</w:t>
      </w:r>
      <w:proofErr w:type="spellEnd"/>
      <w:r>
        <w:rPr>
          <w:rFonts w:cs="Palatino Linotype"/>
        </w:rPr>
        <w:t xml:space="preserve">”) serves as </w:t>
      </w:r>
      <w:proofErr w:type="spellStart"/>
      <w:r>
        <w:rPr>
          <w:rFonts w:cs="Palatino Linotype"/>
          <w:spacing w:val="-5"/>
        </w:rPr>
        <w:t>Grane’s</w:t>
      </w:r>
      <w:proofErr w:type="spellEnd"/>
      <w:r>
        <w:rPr>
          <w:rFonts w:cs="Palatino Linotype"/>
          <w:spacing w:val="-5"/>
        </w:rPr>
        <w:t xml:space="preserve"> </w:t>
      </w:r>
      <w:r>
        <w:rPr>
          <w:rFonts w:cs="Palatino Linotype"/>
        </w:rPr>
        <w:t xml:space="preserve">President. </w:t>
      </w:r>
      <w:proofErr w:type="gramStart"/>
      <w:r>
        <w:t>(</w:t>
      </w:r>
      <w:r>
        <w:rPr>
          <w:rFonts w:cs="Palatino Linotype"/>
          <w:i/>
        </w:rPr>
        <w:t xml:space="preserve">Id. </w:t>
      </w:r>
      <w:r>
        <w:t>at 2 ¶ 6).</w:t>
      </w:r>
      <w:proofErr w:type="gramEnd"/>
      <w:r>
        <w:t xml:space="preserve"> </w:t>
      </w:r>
      <w:r>
        <w:rPr>
          <w:rFonts w:cs="Palatino Linotype"/>
        </w:rPr>
        <w:t xml:space="preserve">Len </w:t>
      </w:r>
      <w:proofErr w:type="spellStart"/>
      <w:r>
        <w:rPr>
          <w:rFonts w:cs="Palatino Linotype"/>
        </w:rPr>
        <w:t>Oddo</w:t>
      </w:r>
      <w:proofErr w:type="spellEnd"/>
      <w:r>
        <w:rPr>
          <w:rFonts w:cs="Palatino Linotype"/>
        </w:rPr>
        <w:t xml:space="preserve"> (“</w:t>
      </w:r>
      <w:proofErr w:type="spellStart"/>
      <w:r>
        <w:rPr>
          <w:rFonts w:cs="Palatino Linotype"/>
        </w:rPr>
        <w:t>Oddo</w:t>
      </w:r>
      <w:proofErr w:type="spellEnd"/>
      <w:r>
        <w:rPr>
          <w:rFonts w:cs="Palatino Linotype"/>
        </w:rPr>
        <w:t xml:space="preserve">”) is </w:t>
      </w:r>
      <w:proofErr w:type="spellStart"/>
      <w:r>
        <w:rPr>
          <w:rFonts w:cs="Palatino Linotype"/>
          <w:spacing w:val="-4"/>
        </w:rPr>
        <w:t>Grane’s</w:t>
      </w:r>
      <w:proofErr w:type="spellEnd"/>
      <w:r>
        <w:rPr>
          <w:rFonts w:cs="Palatino Linotype"/>
          <w:spacing w:val="-4"/>
        </w:rPr>
        <w:t xml:space="preserve"> </w:t>
      </w:r>
      <w:r>
        <w:rPr>
          <w:rFonts w:cs="Palatino Linotype"/>
        </w:rPr>
        <w:t xml:space="preserve">Chief </w:t>
      </w:r>
      <w:r>
        <w:t xml:space="preserve">Operating </w:t>
      </w:r>
      <w:r>
        <w:rPr>
          <w:spacing w:val="-3"/>
        </w:rPr>
        <w:t xml:space="preserve">Officer.  </w:t>
      </w:r>
      <w:proofErr w:type="gramStart"/>
      <w:r>
        <w:t>(</w:t>
      </w:r>
      <w:r>
        <w:rPr>
          <w:rFonts w:cs="Palatino Linotype"/>
          <w:i/>
        </w:rPr>
        <w:t xml:space="preserve">Id. </w:t>
      </w:r>
      <w:r>
        <w:t>at 2 ¶ 2)</w:t>
      </w:r>
      <w:r>
        <w:rPr>
          <w:rFonts w:cs="Palatino Linotype"/>
        </w:rPr>
        <w:t>.</w:t>
      </w:r>
      <w:proofErr w:type="gramEnd"/>
      <w:r>
        <w:rPr>
          <w:rFonts w:cs="Palatino Linotype"/>
        </w:rPr>
        <w:t xml:space="preserve">  </w:t>
      </w:r>
      <w:r>
        <w:rPr>
          <w:rFonts w:cs="Palatino Linotype"/>
        </w:rPr>
        <w:t xml:space="preserve">In that </w:t>
      </w:r>
      <w:r>
        <w:rPr>
          <w:rFonts w:cs="Palatino Linotype"/>
          <w:spacing w:val="-4"/>
        </w:rPr>
        <w:t xml:space="preserve">capacity, </w:t>
      </w:r>
      <w:proofErr w:type="spellStart"/>
      <w:r>
        <w:rPr>
          <w:rFonts w:cs="Palatino Linotype"/>
        </w:rPr>
        <w:t>Oddo</w:t>
      </w:r>
      <w:proofErr w:type="spellEnd"/>
      <w:r>
        <w:rPr>
          <w:rFonts w:cs="Palatino Linotype"/>
        </w:rPr>
        <w:t xml:space="preserve"> implements </w:t>
      </w:r>
      <w:proofErr w:type="spellStart"/>
      <w:r>
        <w:rPr>
          <w:rFonts w:cs="Palatino Linotype"/>
          <w:spacing w:val="-5"/>
        </w:rPr>
        <w:t>Grane’s</w:t>
      </w:r>
      <w:proofErr w:type="spellEnd"/>
      <w:r>
        <w:rPr>
          <w:rFonts w:cs="Palatino Linotype"/>
          <w:spacing w:val="-5"/>
        </w:rPr>
        <w:t xml:space="preserve">   </w:t>
      </w:r>
      <w:r>
        <w:rPr>
          <w:rFonts w:cs="Palatino Linotype"/>
          <w:spacing w:val="11"/>
        </w:rPr>
        <w:t xml:space="preserve"> </w:t>
      </w:r>
      <w:r>
        <w:rPr>
          <w:rFonts w:cs="Palatino Linotype"/>
        </w:rPr>
        <w:t>managem</w:t>
      </w:r>
      <w:r>
        <w:t>ent</w:t>
      </w:r>
    </w:p>
    <w:p w:rsidR="002A1594" w:rsidRDefault="002A1594">
      <w:pPr>
        <w:spacing w:line="480" w:lineRule="auto"/>
        <w:jc w:val="both"/>
        <w:sectPr w:rsidR="002A1594">
          <w:headerReference w:type="default" r:id="rId8"/>
          <w:type w:val="continuous"/>
          <w:pgSz w:w="12240" w:h="15840"/>
          <w:pgMar w:top="540" w:right="1600" w:bottom="280" w:left="1420" w:header="306" w:footer="720" w:gutter="0"/>
          <w:pgNumType w:start="1"/>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106"/>
        <w:jc w:val="both"/>
      </w:pPr>
      <w:proofErr w:type="gramStart"/>
      <w:r>
        <w:t>contracts</w:t>
      </w:r>
      <w:proofErr w:type="gramEnd"/>
      <w:r>
        <w:t xml:space="preserve">. </w:t>
      </w:r>
      <w:proofErr w:type="gramStart"/>
      <w:r>
        <w:t>(</w:t>
      </w:r>
      <w:r>
        <w:rPr>
          <w:rFonts w:cs="Palatino Linotype"/>
          <w:i/>
        </w:rPr>
        <w:t xml:space="preserve">Id. </w:t>
      </w:r>
      <w:r>
        <w:t>at 2 ¶ 4).</w:t>
      </w:r>
      <w:proofErr w:type="gramEnd"/>
      <w:r>
        <w:t xml:space="preserve">  He also serves as the Vice President of the Ebensburg </w:t>
      </w:r>
      <w:proofErr w:type="gramStart"/>
      <w:r>
        <w:t>Care  Center</w:t>
      </w:r>
      <w:proofErr w:type="gramEnd"/>
      <w:r>
        <w:t xml:space="preserve">, LLC </w:t>
      </w:r>
      <w:r>
        <w:rPr>
          <w:rFonts w:cs="Palatino Linotype"/>
        </w:rPr>
        <w:t>(“</w:t>
      </w:r>
      <w:r>
        <w:t>ECC</w:t>
      </w:r>
      <w:r>
        <w:rPr>
          <w:rFonts w:cs="Palatino Linotype"/>
        </w:rPr>
        <w:t xml:space="preserve">”). </w:t>
      </w:r>
      <w:proofErr w:type="gramStart"/>
      <w:r>
        <w:t>(</w:t>
      </w:r>
      <w:r>
        <w:rPr>
          <w:rFonts w:cs="Palatino Linotype"/>
          <w:i/>
        </w:rPr>
        <w:t xml:space="preserve">Id. </w:t>
      </w:r>
      <w:r>
        <w:t>at 2 ¶ 3)</w:t>
      </w:r>
      <w:r>
        <w:rPr>
          <w:rFonts w:cs="Palatino Linotype"/>
        </w:rPr>
        <w:t>.</w:t>
      </w:r>
      <w:proofErr w:type="gramEnd"/>
      <w:r>
        <w:rPr>
          <w:rFonts w:cs="Palatino Linotype"/>
        </w:rPr>
        <w:t xml:space="preserve"> </w:t>
      </w:r>
      <w:proofErr w:type="spellStart"/>
      <w:r>
        <w:rPr>
          <w:rFonts w:cs="Palatino Linotype"/>
        </w:rPr>
        <w:t>Oddo</w:t>
      </w:r>
      <w:proofErr w:type="spellEnd"/>
      <w:r>
        <w:rPr>
          <w:rFonts w:cs="Palatino Linotype"/>
        </w:rPr>
        <w:t xml:space="preserve"> reports to Richard </w:t>
      </w:r>
      <w:proofErr w:type="spellStart"/>
      <w:r>
        <w:rPr>
          <w:rFonts w:cs="Palatino Linotype"/>
        </w:rPr>
        <w:t>Graciano</w:t>
      </w:r>
      <w:proofErr w:type="spellEnd"/>
      <w:r>
        <w:rPr>
          <w:rFonts w:cs="Palatino Linotype"/>
        </w:rPr>
        <w:t xml:space="preserve"> (“</w:t>
      </w:r>
      <w:proofErr w:type="spellStart"/>
      <w:r>
        <w:rPr>
          <w:rFonts w:cs="Palatino Linotype"/>
        </w:rPr>
        <w:t>Graciano</w:t>
      </w:r>
      <w:proofErr w:type="spellEnd"/>
      <w:r>
        <w:rPr>
          <w:rFonts w:cs="Palatino Linotype"/>
        </w:rPr>
        <w:t xml:space="preserve">”), who serves as </w:t>
      </w:r>
      <w:proofErr w:type="spellStart"/>
      <w:r>
        <w:rPr>
          <w:rFonts w:cs="Palatino Linotype"/>
          <w:spacing w:val="-5"/>
        </w:rPr>
        <w:t>Grane’s</w:t>
      </w:r>
      <w:proofErr w:type="spellEnd"/>
      <w:r>
        <w:rPr>
          <w:rFonts w:cs="Palatino Linotype"/>
          <w:spacing w:val="-5"/>
        </w:rPr>
        <w:t xml:space="preserve"> </w:t>
      </w:r>
      <w:r>
        <w:rPr>
          <w:rFonts w:cs="Palatino Linotype"/>
        </w:rPr>
        <w:t xml:space="preserve">Chief Executive Officer (“CEO”).  </w:t>
      </w:r>
      <w:proofErr w:type="gramStart"/>
      <w:r>
        <w:t>(</w:t>
      </w:r>
      <w:r>
        <w:rPr>
          <w:rFonts w:cs="Palatino Linotype"/>
          <w:i/>
        </w:rPr>
        <w:t xml:space="preserve">Id. </w:t>
      </w:r>
      <w:r>
        <w:t>at 2 ¶</w:t>
      </w:r>
      <w:r>
        <w:rPr>
          <w:spacing w:val="-5"/>
        </w:rPr>
        <w:t xml:space="preserve"> </w:t>
      </w:r>
      <w:r>
        <w:t>5).</w:t>
      </w:r>
      <w:proofErr w:type="gramEnd"/>
    </w:p>
    <w:p w:rsidR="002A1594" w:rsidRDefault="00073D1D">
      <w:pPr>
        <w:pStyle w:val="BodyText"/>
        <w:spacing w:before="0" w:line="480" w:lineRule="auto"/>
        <w:ind w:right="102" w:firstLine="719"/>
        <w:jc w:val="both"/>
      </w:pPr>
      <w:r>
        <w:t xml:space="preserve">During the fall of 2009, </w:t>
      </w:r>
      <w:proofErr w:type="spellStart"/>
      <w:r>
        <w:t>Gra</w:t>
      </w:r>
      <w:r>
        <w:t>ne</w:t>
      </w:r>
      <w:proofErr w:type="spellEnd"/>
      <w:r>
        <w:t xml:space="preserve"> purchased the </w:t>
      </w:r>
      <w:proofErr w:type="spellStart"/>
      <w:r>
        <w:t>LaurelCrest</w:t>
      </w:r>
      <w:proofErr w:type="spellEnd"/>
      <w:r>
        <w:t xml:space="preserve"> Nursing and </w:t>
      </w:r>
      <w:r>
        <w:rPr>
          <w:rFonts w:cs="Palatino Linotype"/>
        </w:rPr>
        <w:t xml:space="preserve">Rehabilitation Center (“LCNRC”) from Cambria </w:t>
      </w:r>
      <w:r>
        <w:rPr>
          <w:rFonts w:cs="Palatino Linotype"/>
          <w:spacing w:val="-5"/>
        </w:rPr>
        <w:t xml:space="preserve">County. </w:t>
      </w:r>
      <w:r>
        <w:t>(ECF No. 115 at 2 ¶ 7). In connection with the purchase, the ECC was designated to become the owner and operator of a new facility know</w:t>
      </w:r>
      <w:r>
        <w:rPr>
          <w:rFonts w:cs="Palatino Linotype"/>
        </w:rPr>
        <w:t>n as the Cambria Care Cente</w:t>
      </w:r>
      <w:r>
        <w:rPr>
          <w:rFonts w:cs="Palatino Linotype"/>
        </w:rPr>
        <w:t xml:space="preserve">r (“CCC”). </w:t>
      </w:r>
      <w:proofErr w:type="gramStart"/>
      <w:r>
        <w:t>(</w:t>
      </w:r>
      <w:r>
        <w:rPr>
          <w:rFonts w:cs="Palatino Linotype"/>
          <w:i/>
        </w:rPr>
        <w:t xml:space="preserve">Id. </w:t>
      </w:r>
      <w:r>
        <w:t>at 2-3 ¶ 8).</w:t>
      </w:r>
      <w:proofErr w:type="gramEnd"/>
      <w:r>
        <w:t xml:space="preserve"> This arrangement was scheduled to become effective on January 1, 2010.</w:t>
      </w:r>
      <w:r>
        <w:rPr>
          <w:spacing w:val="28"/>
        </w:rPr>
        <w:t xml:space="preserve"> </w:t>
      </w:r>
      <w:r>
        <w:t>(</w:t>
      </w:r>
      <w:r>
        <w:rPr>
          <w:rFonts w:cs="Palatino Linotype"/>
          <w:i/>
        </w:rPr>
        <w:t>Id.</w:t>
      </w:r>
      <w:r>
        <w:t>).</w:t>
      </w:r>
    </w:p>
    <w:p w:rsidR="002A1594" w:rsidRDefault="00073D1D">
      <w:pPr>
        <w:pStyle w:val="BodyText"/>
        <w:spacing w:before="1"/>
        <w:ind w:left="828" w:right="64"/>
      </w:pPr>
      <w:proofErr w:type="spellStart"/>
      <w:r>
        <w:t>Grane</w:t>
      </w:r>
      <w:proofErr w:type="spellEnd"/>
      <w:r>
        <w:t xml:space="preserve"> has a management consulting agreement with the CCC.   (ECF No. 115 at  </w:t>
      </w:r>
      <w:r>
        <w:rPr>
          <w:spacing w:val="6"/>
        </w:rPr>
        <w:t xml:space="preserve"> </w:t>
      </w:r>
      <w:r>
        <w:t>3</w:t>
      </w:r>
    </w:p>
    <w:p w:rsidR="002A1594" w:rsidRDefault="002A1594">
      <w:pPr>
        <w:spacing w:before="13"/>
        <w:rPr>
          <w:rFonts w:ascii="Palatino Linotype" w:eastAsia="Palatino Linotype" w:hAnsi="Palatino Linotype" w:cs="Palatino Linotype"/>
          <w:sz w:val="21"/>
          <w:szCs w:val="21"/>
        </w:rPr>
      </w:pPr>
    </w:p>
    <w:p w:rsidR="002A1594" w:rsidRDefault="00073D1D">
      <w:pPr>
        <w:pStyle w:val="BodyText"/>
        <w:spacing w:before="0" w:line="480" w:lineRule="auto"/>
        <w:ind w:right="101"/>
        <w:jc w:val="both"/>
      </w:pPr>
      <w:proofErr w:type="gramStart"/>
      <w:r>
        <w:t>¶ 9).</w:t>
      </w:r>
      <w:proofErr w:type="gramEnd"/>
      <w:r>
        <w:t xml:space="preserve"> According to the agreement, </w:t>
      </w:r>
      <w:proofErr w:type="spellStart"/>
      <w:r>
        <w:t>Grane</w:t>
      </w:r>
      <w:proofErr w:type="spellEnd"/>
      <w:r>
        <w:t xml:space="preserve"> was responsible for recruiting and hiring more than 300 employees to staff the CCC and care for its 200 residents. (</w:t>
      </w:r>
      <w:r>
        <w:rPr>
          <w:rFonts w:cs="Palatino Linotype"/>
          <w:i/>
        </w:rPr>
        <w:t xml:space="preserve">Id. </w:t>
      </w:r>
      <w:r>
        <w:t xml:space="preserve">at 5 ¶¶ 16-17). </w:t>
      </w:r>
      <w:r>
        <w:rPr>
          <w:spacing w:val="-8"/>
        </w:rPr>
        <w:t xml:space="preserve">To </w:t>
      </w:r>
      <w:r>
        <w:rPr>
          <w:rFonts w:cs="Palatino Linotype"/>
        </w:rPr>
        <w:t xml:space="preserve">fulfill that obligation, </w:t>
      </w:r>
      <w:proofErr w:type="spellStart"/>
      <w:r>
        <w:rPr>
          <w:rFonts w:cs="Palatino Linotype"/>
        </w:rPr>
        <w:t>Grane</w:t>
      </w:r>
      <w:proofErr w:type="spellEnd"/>
      <w:r>
        <w:rPr>
          <w:rFonts w:cs="Palatino Linotype"/>
        </w:rPr>
        <w:t xml:space="preserve"> invited the </w:t>
      </w:r>
      <w:r>
        <w:rPr>
          <w:rFonts w:cs="Palatino Linotype"/>
          <w:spacing w:val="-5"/>
        </w:rPr>
        <w:t xml:space="preserve">LCNRC’s </w:t>
      </w:r>
      <w:r>
        <w:rPr>
          <w:rFonts w:cs="Palatino Linotype"/>
        </w:rPr>
        <w:t>employees to apply for pos</w:t>
      </w:r>
      <w:r>
        <w:rPr>
          <w:rFonts w:cs="Palatino Linotype"/>
        </w:rPr>
        <w:t xml:space="preserve">itions with </w:t>
      </w:r>
      <w:r>
        <w:t xml:space="preserve">the CCC. </w:t>
      </w:r>
      <w:proofErr w:type="gramStart"/>
      <w:r>
        <w:t>(</w:t>
      </w:r>
      <w:r>
        <w:rPr>
          <w:rFonts w:cs="Palatino Linotype"/>
          <w:i/>
        </w:rPr>
        <w:t xml:space="preserve">Id. </w:t>
      </w:r>
      <w:r>
        <w:t>at 5 ¶ 18).</w:t>
      </w:r>
      <w:proofErr w:type="gramEnd"/>
      <w:r>
        <w:t xml:space="preserve"> The application process began in October 2009</w:t>
      </w:r>
      <w:proofErr w:type="gramStart"/>
      <w:r>
        <w:t>,  when</w:t>
      </w:r>
      <w:proofErr w:type="gramEnd"/>
      <w:r>
        <w:t xml:space="preserve">  the </w:t>
      </w:r>
      <w:r>
        <w:rPr>
          <w:rFonts w:cs="Palatino Linotype"/>
          <w:spacing w:val="-5"/>
        </w:rPr>
        <w:t xml:space="preserve">LCNRC’s </w:t>
      </w:r>
      <w:r>
        <w:rPr>
          <w:rFonts w:cs="Palatino Linotype"/>
        </w:rPr>
        <w:t>employees were informed of the impending sale</w:t>
      </w:r>
      <w:r>
        <w:t xml:space="preserve">. </w:t>
      </w:r>
      <w:proofErr w:type="gramStart"/>
      <w:r>
        <w:t>(</w:t>
      </w:r>
      <w:r>
        <w:rPr>
          <w:rFonts w:cs="Palatino Linotype"/>
          <w:i/>
        </w:rPr>
        <w:t xml:space="preserve">Id. </w:t>
      </w:r>
      <w:r>
        <w:t>at 6-7 ¶¶ 20, 23).</w:t>
      </w:r>
      <w:proofErr w:type="gramEnd"/>
      <w:r>
        <w:t xml:space="preserve"> Beth </w:t>
      </w:r>
      <w:proofErr w:type="spellStart"/>
      <w:r>
        <w:rPr>
          <w:rFonts w:cs="Palatino Linotype"/>
        </w:rPr>
        <w:t>Lengle</w:t>
      </w:r>
      <w:proofErr w:type="spellEnd"/>
      <w:r>
        <w:rPr>
          <w:rFonts w:cs="Palatino Linotype"/>
        </w:rPr>
        <w:t xml:space="preserve"> (“</w:t>
      </w:r>
      <w:proofErr w:type="spellStart"/>
      <w:r>
        <w:rPr>
          <w:rFonts w:cs="Palatino Linotype"/>
        </w:rPr>
        <w:t>Lengle</w:t>
      </w:r>
      <w:proofErr w:type="spellEnd"/>
      <w:r>
        <w:rPr>
          <w:rFonts w:cs="Palatino Linotype"/>
        </w:rPr>
        <w:t xml:space="preserve">”), </w:t>
      </w:r>
      <w:proofErr w:type="spellStart"/>
      <w:r>
        <w:rPr>
          <w:rFonts w:cs="Palatino Linotype"/>
          <w:spacing w:val="-4"/>
        </w:rPr>
        <w:t>Grane’s</w:t>
      </w:r>
      <w:proofErr w:type="spellEnd"/>
      <w:r>
        <w:rPr>
          <w:rFonts w:cs="Palatino Linotype"/>
          <w:spacing w:val="-4"/>
        </w:rPr>
        <w:t xml:space="preserve"> </w:t>
      </w:r>
      <w:r>
        <w:rPr>
          <w:rFonts w:cs="Palatino Linotype"/>
        </w:rPr>
        <w:t xml:space="preserve">Vice President of Nursing Services, </w:t>
      </w:r>
      <w:r>
        <w:t>was in charge</w:t>
      </w:r>
      <w:r>
        <w:t xml:space="preserve"> of processing the applications. </w:t>
      </w:r>
      <w:proofErr w:type="gramStart"/>
      <w:r>
        <w:t>(</w:t>
      </w:r>
      <w:r>
        <w:rPr>
          <w:rFonts w:cs="Palatino Linotype"/>
          <w:i/>
        </w:rPr>
        <w:t xml:space="preserve">Id. </w:t>
      </w:r>
      <w:r>
        <w:t>at 5-6 ¶ 19).</w:t>
      </w:r>
      <w:proofErr w:type="gramEnd"/>
      <w:r>
        <w:t xml:space="preserve"> Individuals interested in applying for positions with the CCC were instructed to report to a conference room located within the LCNRC in order to complete the required paperwork. </w:t>
      </w:r>
      <w:proofErr w:type="gramStart"/>
      <w:r>
        <w:t>(</w:t>
      </w:r>
      <w:r>
        <w:rPr>
          <w:rFonts w:cs="Palatino Linotype"/>
          <w:i/>
        </w:rPr>
        <w:t xml:space="preserve">Id. </w:t>
      </w:r>
      <w:r>
        <w:t>at 8 ¶ 28)</w:t>
      </w:r>
      <w:r>
        <w:rPr>
          <w:rFonts w:cs="Palatino Linotype"/>
        </w:rPr>
        <w:t>.</w:t>
      </w:r>
      <w:proofErr w:type="gramEnd"/>
      <w:r>
        <w:rPr>
          <w:rFonts w:cs="Palatino Linotype"/>
        </w:rPr>
        <w:t xml:space="preserve"> </w:t>
      </w:r>
      <w:proofErr w:type="gramStart"/>
      <w:r>
        <w:rPr>
          <w:rFonts w:cs="Palatino Linotype"/>
          <w:spacing w:val="-4"/>
        </w:rPr>
        <w:t>Pennsylv</w:t>
      </w:r>
      <w:r>
        <w:rPr>
          <w:rFonts w:cs="Palatino Linotype"/>
          <w:spacing w:val="-4"/>
        </w:rPr>
        <w:t xml:space="preserve">ania’s </w:t>
      </w:r>
      <w:r>
        <w:rPr>
          <w:rFonts w:cs="Palatino Linotype"/>
        </w:rPr>
        <w:t>Older Adults Protectiv</w:t>
      </w:r>
      <w:r>
        <w:t xml:space="preserve">e Services Act [35 </w:t>
      </w:r>
      <w:r>
        <w:rPr>
          <w:spacing w:val="-5"/>
        </w:rPr>
        <w:t>P</w:t>
      </w:r>
      <w:r>
        <w:rPr>
          <w:spacing w:val="-5"/>
          <w:sz w:val="18"/>
          <w:szCs w:val="18"/>
        </w:rPr>
        <w:t>A</w:t>
      </w:r>
      <w:r>
        <w:rPr>
          <w:spacing w:val="-5"/>
        </w:rPr>
        <w:t>.</w:t>
      </w:r>
      <w:proofErr w:type="gramEnd"/>
      <w:r>
        <w:rPr>
          <w:spacing w:val="-5"/>
        </w:rPr>
        <w:t xml:space="preserve"> </w:t>
      </w:r>
      <w:proofErr w:type="gramStart"/>
      <w:r>
        <w:rPr>
          <w:spacing w:val="-10"/>
        </w:rPr>
        <w:t>S</w:t>
      </w:r>
      <w:r>
        <w:rPr>
          <w:spacing w:val="-10"/>
          <w:sz w:val="18"/>
          <w:szCs w:val="18"/>
        </w:rPr>
        <w:t>TAT</w:t>
      </w:r>
      <w:r>
        <w:rPr>
          <w:spacing w:val="-10"/>
        </w:rPr>
        <w:t xml:space="preserve">. </w:t>
      </w:r>
      <w:r>
        <w:t xml:space="preserve">§ 10225.101 </w:t>
      </w:r>
      <w:r>
        <w:rPr>
          <w:rFonts w:cs="Palatino Linotype"/>
          <w:i/>
        </w:rPr>
        <w:t>et seq.</w:t>
      </w:r>
      <w:r>
        <w:t>]</w:t>
      </w:r>
      <w:proofErr w:type="gramEnd"/>
      <w:r>
        <w:t xml:space="preserve"> </w:t>
      </w:r>
      <w:proofErr w:type="gramStart"/>
      <w:r>
        <w:t>requires</w:t>
      </w:r>
      <w:proofErr w:type="gramEnd"/>
      <w:r>
        <w:t xml:space="preserve"> covered healthcare facilities to </w:t>
      </w:r>
      <w:r>
        <w:rPr>
          <w:rFonts w:cs="Palatino Linotype"/>
        </w:rPr>
        <w:t xml:space="preserve">consider the “criminal history record[s]” of all prospective employees in connection with </w:t>
      </w:r>
      <w:r>
        <w:t xml:space="preserve">the application process.  </w:t>
      </w:r>
      <w:proofErr w:type="gramStart"/>
      <w:r>
        <w:t xml:space="preserve">35 </w:t>
      </w:r>
      <w:r>
        <w:rPr>
          <w:spacing w:val="-5"/>
        </w:rPr>
        <w:t>P</w:t>
      </w:r>
      <w:r>
        <w:rPr>
          <w:spacing w:val="-5"/>
          <w:sz w:val="18"/>
          <w:szCs w:val="18"/>
        </w:rPr>
        <w:t>A</w:t>
      </w:r>
      <w:r>
        <w:rPr>
          <w:spacing w:val="-5"/>
        </w:rPr>
        <w:t>.</w:t>
      </w:r>
      <w:proofErr w:type="gramEnd"/>
      <w:r>
        <w:rPr>
          <w:spacing w:val="-5"/>
        </w:rPr>
        <w:t xml:space="preserve"> </w:t>
      </w:r>
      <w:r>
        <w:rPr>
          <w:spacing w:val="-9"/>
        </w:rPr>
        <w:t>S</w:t>
      </w:r>
      <w:r>
        <w:rPr>
          <w:spacing w:val="-9"/>
          <w:sz w:val="18"/>
          <w:szCs w:val="18"/>
        </w:rPr>
        <w:t>TAT</w:t>
      </w:r>
      <w:r>
        <w:rPr>
          <w:spacing w:val="-9"/>
        </w:rPr>
        <w:t xml:space="preserve">. </w:t>
      </w:r>
      <w:r>
        <w:t>§ 1022</w:t>
      </w:r>
      <w:r>
        <w:t>5.502(a</w:t>
      </w:r>
      <w:proofErr w:type="gramStart"/>
      <w:r>
        <w:t>)(</w:t>
      </w:r>
      <w:proofErr w:type="gramEnd"/>
      <w:r>
        <w:t xml:space="preserve">1).  In accordance with that  </w:t>
      </w:r>
      <w:r>
        <w:rPr>
          <w:spacing w:val="51"/>
        </w:rPr>
        <w:t xml:space="preserve"> </w:t>
      </w:r>
      <w:r>
        <w:t>mandate,</w:t>
      </w:r>
    </w:p>
    <w:p w:rsidR="002A1594" w:rsidRDefault="002A1594">
      <w:pPr>
        <w:rPr>
          <w:rFonts w:ascii="Palatino Linotype" w:eastAsia="Palatino Linotype" w:hAnsi="Palatino Linotype" w:cs="Palatino Linotype"/>
          <w:sz w:val="20"/>
          <w:szCs w:val="20"/>
        </w:rPr>
      </w:pPr>
    </w:p>
    <w:p w:rsidR="002A1594" w:rsidRDefault="002A1594">
      <w:pPr>
        <w:spacing w:before="12"/>
        <w:rPr>
          <w:rFonts w:ascii="Palatino Linotype" w:eastAsia="Palatino Linotype" w:hAnsi="Palatino Linotype" w:cs="Palatino Linotype"/>
          <w:sz w:val="23"/>
          <w:szCs w:val="23"/>
        </w:rPr>
      </w:pPr>
    </w:p>
    <w:p w:rsidR="002A1594" w:rsidRDefault="00073D1D">
      <w:pPr>
        <w:pStyle w:val="BodyText"/>
        <w:ind w:left="4371" w:right="4369"/>
        <w:jc w:val="center"/>
      </w:pPr>
      <w:r>
        <w:t>2</w:t>
      </w:r>
    </w:p>
    <w:p w:rsidR="002A1594" w:rsidRDefault="002A1594">
      <w:pPr>
        <w:jc w:val="center"/>
        <w:sectPr w:rsidR="002A1594">
          <w:pgSz w:w="12240" w:h="15840"/>
          <w:pgMar w:top="540" w:right="162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81"/>
      </w:pPr>
      <w:proofErr w:type="spellStart"/>
      <w:r>
        <w:rPr>
          <w:rFonts w:cs="Palatino Linotype"/>
        </w:rPr>
        <w:t>Lengle</w:t>
      </w:r>
      <w:proofErr w:type="spellEnd"/>
      <w:r>
        <w:rPr>
          <w:rFonts w:cs="Palatino Linotype"/>
        </w:rPr>
        <w:t xml:space="preserve"> reviewed the “criminal history record” of each individual seeking employment </w:t>
      </w:r>
      <w:r>
        <w:t>with the CCC.  (ECF No. 115 at 18 ¶¶</w:t>
      </w:r>
      <w:r>
        <w:rPr>
          <w:spacing w:val="-9"/>
        </w:rPr>
        <w:t xml:space="preserve"> </w:t>
      </w:r>
      <w:r>
        <w:t>56-57).</w:t>
      </w:r>
    </w:p>
    <w:p w:rsidR="002A1594" w:rsidRDefault="00073D1D">
      <w:pPr>
        <w:pStyle w:val="BodyText"/>
        <w:spacing w:before="1" w:line="480" w:lineRule="auto"/>
        <w:ind w:right="121" w:firstLine="719"/>
        <w:jc w:val="both"/>
      </w:pPr>
      <w:proofErr w:type="spellStart"/>
      <w:r>
        <w:t>Grane</w:t>
      </w:r>
      <w:proofErr w:type="spellEnd"/>
      <w:r>
        <w:t xml:space="preserve"> typically requires every applicant to undergo a test for illegal drugs. (ECF No. 115 at 10 ¶ 33). </w:t>
      </w:r>
      <w:r>
        <w:rPr>
          <w:rFonts w:cs="Palatino Linotype"/>
        </w:rPr>
        <w:t xml:space="preserve">Registered nurse Deborah Hoover (“Hoover”), a nurse consultant for </w:t>
      </w:r>
      <w:proofErr w:type="spellStart"/>
      <w:r>
        <w:t>Grane</w:t>
      </w:r>
      <w:proofErr w:type="spellEnd"/>
      <w:r>
        <w:t xml:space="preserve">, </w:t>
      </w:r>
      <w:r>
        <w:rPr>
          <w:spacing w:val="-3"/>
        </w:rPr>
        <w:t xml:space="preserve">was </w:t>
      </w:r>
      <w:r>
        <w:t>responsible for administering the tests conducted on the LCNRC employees s</w:t>
      </w:r>
      <w:r>
        <w:t xml:space="preserve">eeking employment with the CCC. </w:t>
      </w:r>
      <w:proofErr w:type="gramStart"/>
      <w:r>
        <w:t>(</w:t>
      </w:r>
      <w:r>
        <w:rPr>
          <w:rFonts w:cs="Palatino Linotype"/>
          <w:i/>
        </w:rPr>
        <w:t xml:space="preserve">Id. </w:t>
      </w:r>
      <w:r>
        <w:t>at 10 ¶ 34).</w:t>
      </w:r>
      <w:proofErr w:type="gramEnd"/>
      <w:r>
        <w:t xml:space="preserve"> Urine samples submitted by the applicants were screened for illicit substances. (</w:t>
      </w:r>
      <w:r>
        <w:rPr>
          <w:rFonts w:cs="Palatino Linotype"/>
          <w:i/>
        </w:rPr>
        <w:t xml:space="preserve">Id. </w:t>
      </w:r>
      <w:r>
        <w:t xml:space="preserve">at 11 ¶¶ 37-39). Forms provided to the applicants requested information about their medications. </w:t>
      </w:r>
      <w:proofErr w:type="gramStart"/>
      <w:r>
        <w:t>(</w:t>
      </w:r>
      <w:r>
        <w:rPr>
          <w:rFonts w:cs="Palatino Linotype"/>
          <w:i/>
        </w:rPr>
        <w:t xml:space="preserve">Id. </w:t>
      </w:r>
      <w:r>
        <w:t>at 115 ¶ 35).</w:t>
      </w:r>
      <w:proofErr w:type="gramEnd"/>
      <w:r>
        <w:t xml:space="preserve"> When </w:t>
      </w:r>
      <w:r>
        <w:t xml:space="preserve">an </w:t>
      </w:r>
      <w:r>
        <w:rPr>
          <w:rFonts w:cs="Palatino Linotype"/>
          <w:spacing w:val="-3"/>
        </w:rPr>
        <w:t xml:space="preserve">applicant’s </w:t>
      </w:r>
      <w:r>
        <w:rPr>
          <w:rFonts w:cs="Palatino Linotype"/>
        </w:rPr>
        <w:t xml:space="preserve">drug test yielded a positive result, </w:t>
      </w:r>
      <w:proofErr w:type="spellStart"/>
      <w:r>
        <w:rPr>
          <w:rFonts w:cs="Palatino Linotype"/>
        </w:rPr>
        <w:t>Lengle</w:t>
      </w:r>
      <w:proofErr w:type="spellEnd"/>
      <w:r>
        <w:rPr>
          <w:rFonts w:cs="Palatino Linotype"/>
        </w:rPr>
        <w:t xml:space="preserve"> </w:t>
      </w:r>
      <w:r>
        <w:t>crosschecked the test result with the l</w:t>
      </w:r>
      <w:r>
        <w:rPr>
          <w:rFonts w:cs="Palatino Linotype"/>
        </w:rPr>
        <w:t xml:space="preserve">ist of the </w:t>
      </w:r>
      <w:r>
        <w:rPr>
          <w:rFonts w:cs="Palatino Linotype"/>
          <w:spacing w:val="-3"/>
        </w:rPr>
        <w:t xml:space="preserve">applicant’s </w:t>
      </w:r>
      <w:r>
        <w:rPr>
          <w:rFonts w:cs="Palatino Linotype"/>
        </w:rPr>
        <w:t xml:space="preserve">medications to determine whether the positive finding </w:t>
      </w:r>
      <w:proofErr w:type="gramStart"/>
      <w:r>
        <w:rPr>
          <w:rFonts w:cs="Palatino Linotype"/>
          <w:spacing w:val="-3"/>
        </w:rPr>
        <w:t xml:space="preserve">was  </w:t>
      </w:r>
      <w:r>
        <w:t>attributable</w:t>
      </w:r>
      <w:proofErr w:type="gramEnd"/>
      <w:r>
        <w:t xml:space="preserve"> to a prescribed medication. </w:t>
      </w:r>
      <w:proofErr w:type="gramStart"/>
      <w:r>
        <w:t>(</w:t>
      </w:r>
      <w:r>
        <w:rPr>
          <w:rFonts w:cs="Palatino Linotype"/>
          <w:i/>
        </w:rPr>
        <w:t xml:space="preserve">Id. </w:t>
      </w:r>
      <w:r>
        <w:t>at 12 ¶ 41).</w:t>
      </w:r>
      <w:proofErr w:type="gramEnd"/>
      <w:r>
        <w:t xml:space="preserve"> An applicant was </w:t>
      </w:r>
      <w:r>
        <w:t xml:space="preserve">deemed to have passed the drug test if his or her disclosed medications corresponded with the </w:t>
      </w:r>
      <w:proofErr w:type="gramStart"/>
      <w:r>
        <w:t>positive  test</w:t>
      </w:r>
      <w:proofErr w:type="gramEnd"/>
      <w:r>
        <w:t xml:space="preserve"> result. </w:t>
      </w:r>
      <w:proofErr w:type="gramStart"/>
      <w:r>
        <w:t>(</w:t>
      </w:r>
      <w:r>
        <w:rPr>
          <w:rFonts w:cs="Palatino Linotype"/>
          <w:i/>
        </w:rPr>
        <w:t xml:space="preserve">Id. </w:t>
      </w:r>
      <w:r>
        <w:t>at 12 ¶ 42).</w:t>
      </w:r>
      <w:proofErr w:type="gramEnd"/>
      <w:r>
        <w:t xml:space="preserve"> </w:t>
      </w:r>
      <w:proofErr w:type="spellStart"/>
      <w:r>
        <w:t>Grane</w:t>
      </w:r>
      <w:proofErr w:type="spellEnd"/>
      <w:r>
        <w:t xml:space="preserve"> maintained a policy of refusing to hire any </w:t>
      </w:r>
      <w:proofErr w:type="gramStart"/>
      <w:r>
        <w:t>applicant  who</w:t>
      </w:r>
      <w:proofErr w:type="gramEnd"/>
      <w:r>
        <w:t xml:space="preserve"> </w:t>
      </w:r>
      <w:r>
        <w:rPr>
          <w:spacing w:val="-3"/>
        </w:rPr>
        <w:t xml:space="preserve">was </w:t>
      </w:r>
      <w:r>
        <w:t>using a controlled substance without a prescription.</w:t>
      </w:r>
      <w:r>
        <w:t xml:space="preserve">  </w:t>
      </w:r>
      <w:proofErr w:type="gramStart"/>
      <w:r>
        <w:t>(</w:t>
      </w:r>
      <w:r>
        <w:rPr>
          <w:rFonts w:cs="Palatino Linotype"/>
          <w:i/>
        </w:rPr>
        <w:t xml:space="preserve">Id. </w:t>
      </w:r>
      <w:r>
        <w:t>at 11 ¶</w:t>
      </w:r>
      <w:r>
        <w:rPr>
          <w:spacing w:val="-9"/>
        </w:rPr>
        <w:t xml:space="preserve"> </w:t>
      </w:r>
      <w:r>
        <w:t>40).</w:t>
      </w:r>
      <w:proofErr w:type="gramEnd"/>
    </w:p>
    <w:p w:rsidR="002A1594" w:rsidRDefault="00073D1D">
      <w:pPr>
        <w:pStyle w:val="BodyText"/>
        <w:spacing w:before="1" w:line="480" w:lineRule="auto"/>
        <w:ind w:right="110" w:firstLine="719"/>
        <w:jc w:val="both"/>
      </w:pPr>
      <w:r>
        <w:rPr>
          <w:rFonts w:cs="Palatino Linotype"/>
        </w:rPr>
        <w:t xml:space="preserve">Corporate Care Services (“CCS”) </w:t>
      </w:r>
      <w:r>
        <w:rPr>
          <w:rFonts w:cs="Palatino Linotype"/>
          <w:spacing w:val="-3"/>
        </w:rPr>
        <w:t xml:space="preserve">was </w:t>
      </w:r>
      <w:r>
        <w:rPr>
          <w:rFonts w:cs="Palatino Linotype"/>
        </w:rPr>
        <w:t>contracted to conduct pre</w:t>
      </w:r>
      <w:r>
        <w:t xml:space="preserve">-employment </w:t>
      </w:r>
      <w:r>
        <w:rPr>
          <w:rFonts w:cs="Palatino Linotype"/>
        </w:rPr>
        <w:t xml:space="preserve">physical examinations of the </w:t>
      </w:r>
      <w:r>
        <w:rPr>
          <w:rFonts w:cs="Palatino Linotype"/>
          <w:spacing w:val="-6"/>
        </w:rPr>
        <w:t xml:space="preserve">CCC’s </w:t>
      </w:r>
      <w:r>
        <w:rPr>
          <w:rFonts w:cs="Palatino Linotype"/>
        </w:rPr>
        <w:t xml:space="preserve">incoming employees. </w:t>
      </w:r>
      <w:r>
        <w:t>(ECF No. 115 at 8-9 ¶ 29). LCNRC employees interested in being considered for positions with the CCC were in</w:t>
      </w:r>
      <w:r>
        <w:t xml:space="preserve">structed to complete pre-placement evaluation forms provided by CCS. </w:t>
      </w:r>
      <w:proofErr w:type="gramStart"/>
      <w:r>
        <w:t>(</w:t>
      </w:r>
      <w:r>
        <w:rPr>
          <w:rFonts w:cs="Palatino Linotype"/>
          <w:i/>
        </w:rPr>
        <w:t xml:space="preserve">Id. </w:t>
      </w:r>
      <w:r>
        <w:t>at 9 ¶ 30).</w:t>
      </w:r>
      <w:proofErr w:type="gramEnd"/>
      <w:r>
        <w:t xml:space="preserve"> Eac</w:t>
      </w:r>
      <w:r>
        <w:rPr>
          <w:rFonts w:cs="Palatino Linotype"/>
        </w:rPr>
        <w:t xml:space="preserve">h form solicited information about an </w:t>
      </w:r>
      <w:r>
        <w:rPr>
          <w:rFonts w:cs="Palatino Linotype"/>
          <w:spacing w:val="-3"/>
        </w:rPr>
        <w:t xml:space="preserve">applicant’s </w:t>
      </w:r>
      <w:r>
        <w:rPr>
          <w:rFonts w:cs="Palatino Linotype"/>
        </w:rPr>
        <w:t xml:space="preserve">medical </w:t>
      </w:r>
      <w:r>
        <w:rPr>
          <w:rFonts w:cs="Palatino Linotype"/>
          <w:spacing w:val="-4"/>
        </w:rPr>
        <w:t xml:space="preserve">history. </w:t>
      </w:r>
      <w:proofErr w:type="gramStart"/>
      <w:r>
        <w:t>(</w:t>
      </w:r>
      <w:r>
        <w:rPr>
          <w:rFonts w:cs="Palatino Linotype"/>
          <w:i/>
        </w:rPr>
        <w:t xml:space="preserve">Id. </w:t>
      </w:r>
      <w:r>
        <w:t>at 9 ¶ 31).</w:t>
      </w:r>
      <w:proofErr w:type="gramEnd"/>
      <w:r>
        <w:t xml:space="preserve"> A separate portion of the form was designed to record the results of a physical examination. </w:t>
      </w:r>
      <w:proofErr w:type="gramStart"/>
      <w:r>
        <w:t>(</w:t>
      </w:r>
      <w:r>
        <w:rPr>
          <w:rFonts w:cs="Palatino Linotype"/>
          <w:i/>
        </w:rPr>
        <w:t xml:space="preserve">Id. </w:t>
      </w:r>
      <w:r>
        <w:t>at 9 ¶ 31).</w:t>
      </w:r>
      <w:proofErr w:type="gramEnd"/>
      <w:r>
        <w:t xml:space="preserve"> Every applicant was required to undergo a medical examination, regardless of whether he or she </w:t>
      </w:r>
      <w:r>
        <w:rPr>
          <w:spacing w:val="-3"/>
        </w:rPr>
        <w:t xml:space="preserve">was </w:t>
      </w:r>
      <w:r>
        <w:t xml:space="preserve">seeking to become a </w:t>
      </w:r>
      <w:r>
        <w:rPr>
          <w:rFonts w:cs="Palatino Linotype"/>
        </w:rPr>
        <w:t xml:space="preserve">member of the </w:t>
      </w:r>
      <w:r>
        <w:rPr>
          <w:rFonts w:cs="Palatino Linotype"/>
          <w:spacing w:val="-6"/>
        </w:rPr>
        <w:t>C</w:t>
      </w:r>
      <w:r>
        <w:rPr>
          <w:rFonts w:cs="Palatino Linotype"/>
          <w:spacing w:val="-6"/>
        </w:rPr>
        <w:t xml:space="preserve">CC’s </w:t>
      </w:r>
      <w:r>
        <w:rPr>
          <w:rFonts w:cs="Palatino Linotype"/>
        </w:rPr>
        <w:t xml:space="preserve">medical staff.    </w:t>
      </w:r>
      <w:r>
        <w:rPr>
          <w:rFonts w:cs="Palatino Linotype"/>
          <w:spacing w:val="41"/>
        </w:rPr>
        <w:t xml:space="preserve"> </w:t>
      </w:r>
      <w:r>
        <w:t>(</w:t>
      </w:r>
      <w:r>
        <w:rPr>
          <w:rFonts w:cs="Palatino Linotype"/>
          <w:i/>
        </w:rPr>
        <w:t xml:space="preserve">Id. </w:t>
      </w:r>
      <w:r>
        <w:t>at</w:t>
      </w:r>
    </w:p>
    <w:p w:rsidR="002A1594" w:rsidRDefault="00073D1D">
      <w:pPr>
        <w:pStyle w:val="BodyText"/>
        <w:ind w:left="4371" w:right="4388"/>
        <w:jc w:val="center"/>
      </w:pPr>
      <w:r>
        <w:t>3</w:t>
      </w:r>
    </w:p>
    <w:p w:rsidR="002A1594" w:rsidRDefault="002A1594">
      <w:pPr>
        <w:jc w:val="center"/>
        <w:sectPr w:rsidR="002A1594">
          <w:pgSz w:w="12240" w:h="15840"/>
          <w:pgMar w:top="540" w:right="160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101"/>
        <w:jc w:val="both"/>
      </w:pPr>
      <w:proofErr w:type="gramStart"/>
      <w:r>
        <w:t>19 ¶ 60).</w:t>
      </w:r>
      <w:proofErr w:type="gramEnd"/>
      <w:r>
        <w:t xml:space="preserve"> </w:t>
      </w:r>
      <w:r>
        <w:rPr>
          <w:rFonts w:cs="Palatino Linotype"/>
        </w:rPr>
        <w:t xml:space="preserve">Charlene </w:t>
      </w:r>
      <w:proofErr w:type="spellStart"/>
      <w:r>
        <w:rPr>
          <w:rFonts w:cs="Palatino Linotype"/>
        </w:rPr>
        <w:t>McFeeley</w:t>
      </w:r>
      <w:proofErr w:type="spellEnd"/>
      <w:r>
        <w:rPr>
          <w:rFonts w:cs="Palatino Linotype"/>
        </w:rPr>
        <w:t xml:space="preserve"> (“</w:t>
      </w:r>
      <w:proofErr w:type="spellStart"/>
      <w:r>
        <w:rPr>
          <w:rFonts w:cs="Palatino Linotype"/>
        </w:rPr>
        <w:t>McFeeley</w:t>
      </w:r>
      <w:proofErr w:type="spellEnd"/>
      <w:r>
        <w:rPr>
          <w:rFonts w:cs="Palatino Linotype"/>
        </w:rPr>
        <w:t xml:space="preserve">”), a nurse practitioner employed by CCS, </w:t>
      </w:r>
      <w:r>
        <w:t>performed physical examinations of the LCNRC employees who were seeking employment with the CCC. (</w:t>
      </w:r>
      <w:r>
        <w:rPr>
          <w:rFonts w:cs="Palatino Linotype"/>
          <w:i/>
        </w:rPr>
        <w:t xml:space="preserve">Id. </w:t>
      </w:r>
      <w:r>
        <w:t xml:space="preserve">at 20 ¶¶ 63-64). After </w:t>
      </w:r>
      <w:r>
        <w:t xml:space="preserve">examining each prospective employee, </w:t>
      </w:r>
      <w:proofErr w:type="spellStart"/>
      <w:r>
        <w:t>McFeeley</w:t>
      </w:r>
      <w:proofErr w:type="spellEnd"/>
      <w:r>
        <w:t xml:space="preserve"> provided a written indication as to whether the individual was able to perform the </w:t>
      </w:r>
      <w:r>
        <w:rPr>
          <w:rFonts w:cs="Palatino Linotype"/>
        </w:rPr>
        <w:t>“</w:t>
      </w:r>
      <w:r>
        <w:t>essential functions</w:t>
      </w:r>
      <w:r>
        <w:rPr>
          <w:rFonts w:cs="Palatino Linotype"/>
        </w:rPr>
        <w:t xml:space="preserve">” </w:t>
      </w:r>
      <w:r>
        <w:t xml:space="preserve">of his or her desired position. </w:t>
      </w:r>
      <w:proofErr w:type="gramStart"/>
      <w:r>
        <w:t>(</w:t>
      </w:r>
      <w:r>
        <w:rPr>
          <w:rFonts w:cs="Palatino Linotype"/>
          <w:i/>
        </w:rPr>
        <w:t xml:space="preserve">Id. </w:t>
      </w:r>
      <w:r>
        <w:t>at 20-21 ¶ 65).</w:t>
      </w:r>
      <w:proofErr w:type="gramEnd"/>
      <w:r>
        <w:t xml:space="preserve"> Healthcare facilities such as the CCC are required t</w:t>
      </w:r>
      <w:r>
        <w:t xml:space="preserve">o screen employees and contractors </w:t>
      </w:r>
      <w:r>
        <w:rPr>
          <w:rFonts w:cs="Palatino Linotype"/>
        </w:rPr>
        <w:t xml:space="preserve">“with direct consumer contact” for </w:t>
      </w:r>
      <w:r>
        <w:t xml:space="preserve">tuberculosis. </w:t>
      </w:r>
      <w:proofErr w:type="gramStart"/>
      <w:r>
        <w:t xml:space="preserve">35 </w:t>
      </w:r>
      <w:r>
        <w:rPr>
          <w:spacing w:val="-5"/>
        </w:rPr>
        <w:t>P</w:t>
      </w:r>
      <w:r>
        <w:rPr>
          <w:spacing w:val="-5"/>
          <w:sz w:val="18"/>
          <w:szCs w:val="18"/>
        </w:rPr>
        <w:t>A</w:t>
      </w:r>
      <w:r>
        <w:rPr>
          <w:spacing w:val="-5"/>
        </w:rPr>
        <w:t>.</w:t>
      </w:r>
      <w:proofErr w:type="gramEnd"/>
      <w:r>
        <w:rPr>
          <w:spacing w:val="-5"/>
        </w:rPr>
        <w:t xml:space="preserve"> </w:t>
      </w:r>
      <w:r>
        <w:rPr>
          <w:spacing w:val="-9"/>
        </w:rPr>
        <w:t>S</w:t>
      </w:r>
      <w:r>
        <w:rPr>
          <w:spacing w:val="-9"/>
          <w:sz w:val="18"/>
          <w:szCs w:val="18"/>
        </w:rPr>
        <w:t>TAT</w:t>
      </w:r>
      <w:r>
        <w:rPr>
          <w:spacing w:val="-9"/>
        </w:rPr>
        <w:t xml:space="preserve">. </w:t>
      </w:r>
      <w:r>
        <w:t>§ 448.806(D.1</w:t>
      </w:r>
      <w:proofErr w:type="gramStart"/>
      <w:r>
        <w:t>)(</w:t>
      </w:r>
      <w:proofErr w:type="gramEnd"/>
      <w:r>
        <w:t xml:space="preserve">5). Tuberculosis screenings </w:t>
      </w:r>
      <w:r>
        <w:rPr>
          <w:rFonts w:cs="Palatino Linotype"/>
        </w:rPr>
        <w:t xml:space="preserve">were performed as a part of the </w:t>
      </w:r>
      <w:r>
        <w:rPr>
          <w:rFonts w:cs="Palatino Linotype"/>
          <w:spacing w:val="-6"/>
        </w:rPr>
        <w:t xml:space="preserve">CCC’s </w:t>
      </w:r>
      <w:r>
        <w:t>application process. (ECF No. 115 at 18 ¶</w:t>
      </w:r>
      <w:r>
        <w:rPr>
          <w:spacing w:val="-2"/>
        </w:rPr>
        <w:t xml:space="preserve"> </w:t>
      </w:r>
      <w:r>
        <w:t>55).</w:t>
      </w:r>
    </w:p>
    <w:p w:rsidR="002A1594" w:rsidRDefault="00073D1D">
      <w:pPr>
        <w:pStyle w:val="BodyText"/>
        <w:spacing w:before="0" w:line="480" w:lineRule="auto"/>
        <w:ind w:right="101" w:firstLine="719"/>
        <w:jc w:val="both"/>
      </w:pPr>
      <w:r>
        <w:t>More than 300 LCNRC employees a</w:t>
      </w:r>
      <w:r>
        <w:t xml:space="preserve">pplied for positions with the CCC. (ECF No. 115 at 21 ¶ 68). The applicants were examined by </w:t>
      </w:r>
      <w:proofErr w:type="spellStart"/>
      <w:r>
        <w:t>McFeeley</w:t>
      </w:r>
      <w:proofErr w:type="spellEnd"/>
      <w:r>
        <w:t xml:space="preserve"> during the fall of 2009. (ECF No. 98-3 at 5). </w:t>
      </w:r>
      <w:proofErr w:type="spellStart"/>
      <w:r>
        <w:t>Grane</w:t>
      </w:r>
      <w:proofErr w:type="spellEnd"/>
      <w:r>
        <w:t xml:space="preserve"> ultimately hired roughly 225 of the applicants to work for the CCC. (ECF No. 115 at 21 ¶ 68). Although</w:t>
      </w:r>
      <w:r>
        <w:t xml:space="preserve"> most of the successful applicants were offered positions in person, there were situations in which individuals were offered positions by telephone.  </w:t>
      </w:r>
      <w:proofErr w:type="gramStart"/>
      <w:r>
        <w:t>(</w:t>
      </w:r>
      <w:r>
        <w:rPr>
          <w:i/>
        </w:rPr>
        <w:t xml:space="preserve">Id. </w:t>
      </w:r>
      <w:r>
        <w:t>at 21 ¶</w:t>
      </w:r>
      <w:r>
        <w:rPr>
          <w:spacing w:val="-8"/>
        </w:rPr>
        <w:t xml:space="preserve"> </w:t>
      </w:r>
      <w:r>
        <w:t>69).</w:t>
      </w:r>
      <w:proofErr w:type="gramEnd"/>
    </w:p>
    <w:p w:rsidR="002A1594" w:rsidRDefault="00073D1D">
      <w:pPr>
        <w:pStyle w:val="BodyText"/>
        <w:spacing w:before="0" w:line="480" w:lineRule="auto"/>
        <w:ind w:right="100" w:firstLine="719"/>
        <w:jc w:val="both"/>
      </w:pPr>
      <w:r>
        <w:t xml:space="preserve">The CCC began its operations on January 1, 2010. (ECF No. 115 at 5 ¶ 16). Shortly thereafter, several unsuccessful applicants for employment filed charges of discrimination </w:t>
      </w:r>
      <w:r>
        <w:rPr>
          <w:rFonts w:cs="Palatino Linotype"/>
        </w:rPr>
        <w:t xml:space="preserve">with the Equal Employment Opportunity Commission (“EEOC”), alleging that </w:t>
      </w:r>
      <w:proofErr w:type="spellStart"/>
      <w:r>
        <w:rPr>
          <w:rFonts w:cs="Palatino Linotype"/>
        </w:rPr>
        <w:t>Grane</w:t>
      </w:r>
      <w:proofErr w:type="spellEnd"/>
      <w:r>
        <w:rPr>
          <w:rFonts w:cs="Palatino Linotype"/>
        </w:rPr>
        <w:t xml:space="preserve"> and </w:t>
      </w:r>
      <w:r>
        <w:t xml:space="preserve">the ECC had violated the </w:t>
      </w:r>
      <w:r>
        <w:rPr>
          <w:rFonts w:cs="Palatino Linotype"/>
        </w:rPr>
        <w:t xml:space="preserve">Americans with Disabilities Act of 1990 </w:t>
      </w:r>
      <w:r>
        <w:rPr>
          <w:rFonts w:cs="Palatino Linotype"/>
          <w:spacing w:val="-6"/>
        </w:rPr>
        <w:t xml:space="preserve">(“ADA”) </w:t>
      </w:r>
      <w:r>
        <w:rPr>
          <w:rFonts w:cs="Palatino Linotype"/>
        </w:rPr>
        <w:t xml:space="preserve">[42 U.S.C. § </w:t>
      </w:r>
      <w:r>
        <w:t xml:space="preserve">12101 </w:t>
      </w:r>
      <w:r>
        <w:rPr>
          <w:rFonts w:cs="Palatino Linotype"/>
          <w:i/>
        </w:rPr>
        <w:t>et seq.</w:t>
      </w:r>
      <w:r>
        <w:t xml:space="preserve">] by conducting pre-offer medical examinations of prospective employees and declining to hire some of them because of actual or perceived disabilities. (ECF </w:t>
      </w:r>
      <w:r>
        <w:t xml:space="preserve">No. 116- 24).  The EEOC commenced this action against </w:t>
      </w:r>
      <w:proofErr w:type="spellStart"/>
      <w:r>
        <w:t>Grane</w:t>
      </w:r>
      <w:proofErr w:type="spellEnd"/>
      <w:r>
        <w:t xml:space="preserve"> and the ECC on September 30,</w:t>
      </w:r>
      <w:r>
        <w:rPr>
          <w:spacing w:val="13"/>
        </w:rPr>
        <w:t xml:space="preserve"> </w:t>
      </w:r>
      <w:r>
        <w:t>2010,</w:t>
      </w:r>
    </w:p>
    <w:p w:rsidR="002A1594" w:rsidRDefault="00073D1D">
      <w:pPr>
        <w:pStyle w:val="BodyText"/>
        <w:ind w:left="4371" w:right="4369"/>
        <w:jc w:val="center"/>
      </w:pPr>
      <w:r>
        <w:t>4</w:t>
      </w:r>
    </w:p>
    <w:p w:rsidR="002A1594" w:rsidRDefault="002A1594">
      <w:pPr>
        <w:jc w:val="center"/>
        <w:sectPr w:rsidR="002A1594">
          <w:pgSz w:w="12240" w:h="15840"/>
          <w:pgMar w:top="540" w:right="162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101"/>
        <w:jc w:val="both"/>
      </w:pPr>
      <w:proofErr w:type="gramStart"/>
      <w:r>
        <w:t>seeking</w:t>
      </w:r>
      <w:proofErr w:type="gramEnd"/>
      <w:r>
        <w:t xml:space="preserve"> injunctive and monetary relief to remedy the alleged violations of the ADA. (ECF No. 1)</w:t>
      </w:r>
      <w:r>
        <w:rPr>
          <w:rFonts w:cs="Palatino Linotype"/>
        </w:rPr>
        <w:t xml:space="preserve">. </w:t>
      </w:r>
      <w:proofErr w:type="spellStart"/>
      <w:r>
        <w:rPr>
          <w:rFonts w:cs="Palatino Linotype"/>
        </w:rPr>
        <w:t>Grane</w:t>
      </w:r>
      <w:proofErr w:type="spellEnd"/>
      <w:r>
        <w:rPr>
          <w:rFonts w:cs="Palatino Linotype"/>
        </w:rPr>
        <w:t xml:space="preserve"> and the ECC answered the </w:t>
      </w:r>
      <w:r>
        <w:rPr>
          <w:rFonts w:cs="Palatino Linotype"/>
          <w:spacing w:val="-5"/>
        </w:rPr>
        <w:t xml:space="preserve">EEOC’s </w:t>
      </w:r>
      <w:r>
        <w:rPr>
          <w:rFonts w:cs="Palatino Linotype"/>
        </w:rPr>
        <w:t xml:space="preserve">complaint two months </w:t>
      </w:r>
      <w:r>
        <w:rPr>
          <w:rFonts w:cs="Palatino Linotype"/>
          <w:spacing w:val="-3"/>
        </w:rPr>
        <w:t xml:space="preserve">later.  </w:t>
      </w:r>
      <w:proofErr w:type="gramStart"/>
      <w:r>
        <w:t>(ECF No.</w:t>
      </w:r>
      <w:proofErr w:type="gramEnd"/>
      <w:r>
        <w:t xml:space="preserve">  8). On September 14, 2012, the EEOC filed a motion for partial judgment </w:t>
      </w:r>
      <w:proofErr w:type="gramStart"/>
      <w:r>
        <w:t>on  the</w:t>
      </w:r>
      <w:proofErr w:type="gramEnd"/>
      <w:r>
        <w:t xml:space="preserve">  pleadings. (ECF No. 60). </w:t>
      </w:r>
      <w:proofErr w:type="spellStart"/>
      <w:r>
        <w:t>Grane</w:t>
      </w:r>
      <w:proofErr w:type="spellEnd"/>
      <w:r>
        <w:t xml:space="preserve"> and the ECC responded to the motion by seeking permission to amend their </w:t>
      </w:r>
      <w:r>
        <w:rPr>
          <w:spacing w:val="-3"/>
        </w:rPr>
        <w:t xml:space="preserve">answer. </w:t>
      </w:r>
      <w:r>
        <w:t>(ECF No. 64). The motion</w:t>
      </w:r>
      <w:r>
        <w:t xml:space="preserve"> for partial judgment on the pleadings was denied without prejudice in a memorandum opinion and order dated March 15, 2013. </w:t>
      </w:r>
      <w:proofErr w:type="gramStart"/>
      <w:r>
        <w:t>(ECF No. 86).</w:t>
      </w:r>
      <w:proofErr w:type="gramEnd"/>
      <w:r>
        <w:t xml:space="preserve"> </w:t>
      </w:r>
      <w:proofErr w:type="spellStart"/>
      <w:r>
        <w:t>Grane</w:t>
      </w:r>
      <w:proofErr w:type="spellEnd"/>
      <w:r>
        <w:t xml:space="preserve"> and the ECC filed their amended answer three days </w:t>
      </w:r>
      <w:r>
        <w:rPr>
          <w:spacing w:val="-3"/>
        </w:rPr>
        <w:t xml:space="preserve">later. </w:t>
      </w:r>
      <w:r>
        <w:t>(ECF No. 87). The parties filed cross-motions for summa</w:t>
      </w:r>
      <w:r>
        <w:t xml:space="preserve">ry judgment </w:t>
      </w:r>
      <w:proofErr w:type="gramStart"/>
      <w:r>
        <w:t>on  July</w:t>
      </w:r>
      <w:proofErr w:type="gramEnd"/>
      <w:r>
        <w:t xml:space="preserve"> 8,  2013.  (ECF Nos. 92, 95).  Those motions are the subject of this memorandum</w:t>
      </w:r>
      <w:r>
        <w:rPr>
          <w:spacing w:val="-26"/>
        </w:rPr>
        <w:t xml:space="preserve"> </w:t>
      </w:r>
      <w:r>
        <w:t>opinion.</w:t>
      </w:r>
    </w:p>
    <w:p w:rsidR="002A1594" w:rsidRDefault="002A1594">
      <w:pPr>
        <w:spacing w:before="10"/>
        <w:rPr>
          <w:rFonts w:ascii="Palatino Linotype" w:eastAsia="Palatino Linotype" w:hAnsi="Palatino Linotype" w:cs="Palatino Linotype"/>
          <w:sz w:val="17"/>
          <w:szCs w:val="17"/>
        </w:rPr>
      </w:pPr>
    </w:p>
    <w:p w:rsidR="002A1594" w:rsidRDefault="00073D1D">
      <w:pPr>
        <w:pStyle w:val="Heading3"/>
        <w:numPr>
          <w:ilvl w:val="0"/>
          <w:numId w:val="3"/>
        </w:numPr>
        <w:tabs>
          <w:tab w:val="left" w:pos="829"/>
        </w:tabs>
        <w:ind w:left="828"/>
        <w:jc w:val="both"/>
        <w:rPr>
          <w:b w:val="0"/>
          <w:bCs w:val="0"/>
        </w:rPr>
      </w:pPr>
      <w:r>
        <w:rPr>
          <w:spacing w:val="-4"/>
        </w:rPr>
        <w:t xml:space="preserve">STANDARD </w:t>
      </w:r>
      <w:r>
        <w:t>OF</w:t>
      </w:r>
      <w:r>
        <w:rPr>
          <w:spacing w:val="6"/>
        </w:rPr>
        <w:t xml:space="preserve"> </w:t>
      </w:r>
      <w:r>
        <w:t>REVIEW</w:t>
      </w:r>
    </w:p>
    <w:p w:rsidR="002A1594" w:rsidRDefault="002A1594">
      <w:pPr>
        <w:spacing w:before="13"/>
        <w:rPr>
          <w:rFonts w:ascii="Palatino Linotype" w:eastAsia="Palatino Linotype" w:hAnsi="Palatino Linotype" w:cs="Palatino Linotype"/>
          <w:b/>
          <w:bCs/>
          <w:sz w:val="21"/>
          <w:szCs w:val="21"/>
        </w:rPr>
      </w:pPr>
    </w:p>
    <w:p w:rsidR="002A1594" w:rsidRDefault="00073D1D">
      <w:pPr>
        <w:pStyle w:val="BodyText"/>
        <w:spacing w:before="0" w:line="480" w:lineRule="auto"/>
        <w:ind w:right="101" w:firstLine="719"/>
        <w:jc w:val="both"/>
      </w:pPr>
      <w:r>
        <w:t xml:space="preserve">Summary judgment may only be granted where the moving party </w:t>
      </w:r>
      <w:proofErr w:type="gramStart"/>
      <w:r>
        <w:t>shows  that</w:t>
      </w:r>
      <w:proofErr w:type="gramEnd"/>
      <w:r>
        <w:t xml:space="preserve"> there is no genuine dispute as to any material fact, </w:t>
      </w:r>
      <w:r>
        <w:t xml:space="preserve">and that a judgment as a matter of law is warranted. </w:t>
      </w:r>
      <w:proofErr w:type="gramStart"/>
      <w:r>
        <w:t>F</w:t>
      </w:r>
      <w:r>
        <w:rPr>
          <w:sz w:val="18"/>
        </w:rPr>
        <w:t>ED</w:t>
      </w:r>
      <w:r>
        <w:t>.</w:t>
      </w:r>
      <w:proofErr w:type="gramEnd"/>
      <w:r>
        <w:t xml:space="preserve"> </w:t>
      </w:r>
      <w:proofErr w:type="gramStart"/>
      <w:r>
        <w:t xml:space="preserve">R. </w:t>
      </w:r>
      <w:r>
        <w:rPr>
          <w:spacing w:val="-8"/>
        </w:rPr>
        <w:t>C</w:t>
      </w:r>
      <w:r>
        <w:rPr>
          <w:spacing w:val="-8"/>
          <w:sz w:val="18"/>
        </w:rPr>
        <w:t>IV</w:t>
      </w:r>
      <w:r>
        <w:rPr>
          <w:spacing w:val="-8"/>
        </w:rPr>
        <w:t xml:space="preserve">. </w:t>
      </w:r>
      <w:r>
        <w:rPr>
          <w:spacing w:val="-14"/>
        </w:rPr>
        <w:t xml:space="preserve">P. </w:t>
      </w:r>
      <w:r>
        <w:t>56(a).</w:t>
      </w:r>
      <w:proofErr w:type="gramEnd"/>
      <w:r>
        <w:t xml:space="preserve"> Pursuant to Federal Rule of Civil Procedure 56, the </w:t>
      </w:r>
      <w:r>
        <w:t xml:space="preserve">Court must enter summary judgment against a party who fails to make a showing sufficient to establish an element essential to his or her case, and on which he or she will bear the burden of proof at trial. </w:t>
      </w:r>
      <w:proofErr w:type="gramStart"/>
      <w:r>
        <w:rPr>
          <w:i/>
        </w:rPr>
        <w:t xml:space="preserve">Celotex Corp. </w:t>
      </w:r>
      <w:r>
        <w:rPr>
          <w:i/>
          <w:spacing w:val="-6"/>
        </w:rPr>
        <w:t xml:space="preserve">v. </w:t>
      </w:r>
      <w:proofErr w:type="spellStart"/>
      <w:r>
        <w:rPr>
          <w:i/>
        </w:rPr>
        <w:t>Catrett</w:t>
      </w:r>
      <w:proofErr w:type="spellEnd"/>
      <w:r>
        <w:t>, 477 U.S. 317, 322 (1986)</w:t>
      </w:r>
      <w:r>
        <w:t>.</w:t>
      </w:r>
      <w:proofErr w:type="gramEnd"/>
      <w:r>
        <w:t xml:space="preserve"> In evaluating the evidence, the Court must interpret the facts in the light most favorable to the nonmoving </w:t>
      </w:r>
      <w:r>
        <w:rPr>
          <w:spacing w:val="-5"/>
        </w:rPr>
        <w:t xml:space="preserve">party, </w:t>
      </w:r>
      <w:r>
        <w:t xml:space="preserve">drawing all reasonable inferences in his or her </w:t>
      </w:r>
      <w:r>
        <w:rPr>
          <w:spacing w:val="-4"/>
        </w:rPr>
        <w:t xml:space="preserve">favor. </w:t>
      </w:r>
      <w:proofErr w:type="gramStart"/>
      <w:r>
        <w:rPr>
          <w:i/>
        </w:rPr>
        <w:t xml:space="preserve">Watson </w:t>
      </w:r>
      <w:r>
        <w:rPr>
          <w:i/>
          <w:spacing w:val="-8"/>
        </w:rPr>
        <w:t xml:space="preserve">v. </w:t>
      </w:r>
      <w:r>
        <w:rPr>
          <w:i/>
        </w:rPr>
        <w:t xml:space="preserve">Abington </w:t>
      </w:r>
      <w:r>
        <w:rPr>
          <w:i/>
          <w:spacing w:val="-3"/>
        </w:rPr>
        <w:t>Township</w:t>
      </w:r>
      <w:r>
        <w:rPr>
          <w:spacing w:val="-3"/>
        </w:rPr>
        <w:t xml:space="preserve">, </w:t>
      </w:r>
      <w:r>
        <w:t xml:space="preserve">478 </w:t>
      </w:r>
      <w:r>
        <w:rPr>
          <w:spacing w:val="-5"/>
        </w:rPr>
        <w:t xml:space="preserve">F.3d </w:t>
      </w:r>
      <w:r>
        <w:t xml:space="preserve">144, 147 (3d </w:t>
      </w:r>
      <w:r>
        <w:rPr>
          <w:spacing w:val="-4"/>
        </w:rPr>
        <w:t xml:space="preserve">Cir. </w:t>
      </w:r>
      <w:r>
        <w:t>2007).</w:t>
      </w:r>
      <w:proofErr w:type="gramEnd"/>
      <w:r>
        <w:t xml:space="preserve"> The burden is initial</w:t>
      </w:r>
      <w:r>
        <w:t xml:space="preserve">ly on the moving party to demonstrate that the evidence contained in the record does not create a genuine issue of material fact.     </w:t>
      </w:r>
      <w:r>
        <w:rPr>
          <w:spacing w:val="42"/>
        </w:rPr>
        <w:t xml:space="preserve"> </w:t>
      </w:r>
      <w:proofErr w:type="spellStart"/>
      <w:r>
        <w:rPr>
          <w:i/>
        </w:rPr>
        <w:t>Conoshenti</w:t>
      </w:r>
      <w:proofErr w:type="spellEnd"/>
      <w:r>
        <w:rPr>
          <w:i/>
        </w:rPr>
        <w:t xml:space="preserve"> </w:t>
      </w:r>
      <w:r>
        <w:rPr>
          <w:i/>
          <w:spacing w:val="-6"/>
        </w:rPr>
        <w:t xml:space="preserve">v. </w:t>
      </w:r>
      <w:r>
        <w:rPr>
          <w:i/>
        </w:rPr>
        <w:t>Public Service Electric &amp; Gas Co.</w:t>
      </w:r>
      <w:r>
        <w:t xml:space="preserve">, 364 </w:t>
      </w:r>
      <w:r>
        <w:rPr>
          <w:spacing w:val="-5"/>
        </w:rPr>
        <w:t xml:space="preserve">F.3d </w:t>
      </w:r>
      <w:r>
        <w:t>135, 140 (3d</w:t>
      </w:r>
    </w:p>
    <w:p w:rsidR="002A1594" w:rsidRDefault="002A1594">
      <w:pPr>
        <w:spacing w:before="2"/>
        <w:rPr>
          <w:rFonts w:ascii="Palatino Linotype" w:eastAsia="Palatino Linotype" w:hAnsi="Palatino Linotype" w:cs="Palatino Linotype"/>
          <w:sz w:val="26"/>
          <w:szCs w:val="26"/>
        </w:rPr>
      </w:pPr>
    </w:p>
    <w:p w:rsidR="002A1594" w:rsidRDefault="00073D1D">
      <w:pPr>
        <w:pStyle w:val="BodyText"/>
        <w:ind w:left="4371" w:right="4369"/>
        <w:jc w:val="center"/>
      </w:pPr>
      <w:r>
        <w:t>5</w:t>
      </w:r>
    </w:p>
    <w:p w:rsidR="002A1594" w:rsidRDefault="002A1594">
      <w:pPr>
        <w:jc w:val="center"/>
        <w:sectPr w:rsidR="002A1594">
          <w:pgSz w:w="12240" w:h="15840"/>
          <w:pgMar w:top="540" w:right="162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102"/>
        <w:jc w:val="both"/>
      </w:pPr>
      <w:proofErr w:type="gramStart"/>
      <w:r>
        <w:rPr>
          <w:rFonts w:cs="Palatino Linotype"/>
          <w:spacing w:val="-4"/>
        </w:rPr>
        <w:t xml:space="preserve">Cir. </w:t>
      </w:r>
      <w:r>
        <w:rPr>
          <w:rFonts w:cs="Palatino Linotype"/>
        </w:rPr>
        <w:t>2004).</w:t>
      </w:r>
      <w:proofErr w:type="gramEnd"/>
      <w:r>
        <w:rPr>
          <w:rFonts w:cs="Palatino Linotype"/>
        </w:rPr>
        <w:t xml:space="preserve"> A dispute is “genu</w:t>
      </w:r>
      <w:r>
        <w:rPr>
          <w:rFonts w:cs="Palatino Linotype"/>
        </w:rPr>
        <w:t xml:space="preserve">ine” if the evidence is such that a reasonable trier of fact </w:t>
      </w:r>
      <w:r>
        <w:t xml:space="preserve">could render a finding in favor of the nonmoving </w:t>
      </w:r>
      <w:r>
        <w:rPr>
          <w:spacing w:val="-5"/>
        </w:rPr>
        <w:t xml:space="preserve">party. </w:t>
      </w:r>
      <w:proofErr w:type="gramStart"/>
      <w:r>
        <w:rPr>
          <w:rFonts w:cs="Palatino Linotype"/>
          <w:i/>
        </w:rPr>
        <w:t xml:space="preserve">McGreevy </w:t>
      </w:r>
      <w:r>
        <w:rPr>
          <w:rFonts w:cs="Palatino Linotype"/>
          <w:i/>
          <w:spacing w:val="-6"/>
        </w:rPr>
        <w:t xml:space="preserve">v. </w:t>
      </w:r>
      <w:r>
        <w:rPr>
          <w:rFonts w:cs="Palatino Linotype"/>
          <w:i/>
        </w:rPr>
        <w:t>Stroup</w:t>
      </w:r>
      <w:r>
        <w:t xml:space="preserve">, 413 </w:t>
      </w:r>
      <w:r>
        <w:rPr>
          <w:spacing w:val="-4"/>
        </w:rPr>
        <w:t xml:space="preserve">F.3d </w:t>
      </w:r>
      <w:r>
        <w:t xml:space="preserve">359, 363 (3d </w:t>
      </w:r>
      <w:r>
        <w:rPr>
          <w:spacing w:val="-4"/>
        </w:rPr>
        <w:t xml:space="preserve">Cir. </w:t>
      </w:r>
      <w:r>
        <w:t>2005).</w:t>
      </w:r>
      <w:proofErr w:type="gramEnd"/>
      <w:r>
        <w:t xml:space="preserve"> Where the nonmoving party will bear the burden of proof at trial, the </w:t>
      </w:r>
      <w:r>
        <w:t xml:space="preserve">moving party may meet its burden by showing that the admissible evidence contained in </w:t>
      </w:r>
      <w:r>
        <w:rPr>
          <w:rFonts w:cs="Palatino Linotype"/>
        </w:rPr>
        <w:t xml:space="preserve">the record would be insufficient to carry the nonmoving </w:t>
      </w:r>
      <w:r>
        <w:rPr>
          <w:rFonts w:cs="Palatino Linotype"/>
          <w:spacing w:val="-5"/>
        </w:rPr>
        <w:t xml:space="preserve">party’s </w:t>
      </w:r>
      <w:r>
        <w:rPr>
          <w:rFonts w:cs="Palatino Linotype"/>
        </w:rPr>
        <w:t xml:space="preserve">burden of proof. </w:t>
      </w:r>
      <w:r>
        <w:rPr>
          <w:rFonts w:cs="Palatino Linotype"/>
          <w:i/>
        </w:rPr>
        <w:t>Celotex Corp.</w:t>
      </w:r>
      <w:r>
        <w:t>, 477 U.S. at 322. Once the moving party satisfies its burden, the burden sh</w:t>
      </w:r>
      <w:r>
        <w:t xml:space="preserve">ifts to the nonmoving </w:t>
      </w:r>
      <w:r>
        <w:rPr>
          <w:spacing w:val="-5"/>
        </w:rPr>
        <w:t xml:space="preserve">party, </w:t>
      </w:r>
      <w:r>
        <w:t xml:space="preserve">who must go beyond his or her pleadings and designate facts by </w:t>
      </w:r>
      <w:proofErr w:type="gramStart"/>
      <w:r>
        <w:t>the  use</w:t>
      </w:r>
      <w:proofErr w:type="gramEnd"/>
      <w:r>
        <w:t xml:space="preserve"> of affidavits, depositions, admissions, or answers to interrogatories  showing  that there is a genuine issue of material fact for trial. </w:t>
      </w:r>
      <w:proofErr w:type="gramStart"/>
      <w:r>
        <w:rPr>
          <w:rFonts w:cs="Palatino Linotype"/>
          <w:i/>
        </w:rPr>
        <w:t xml:space="preserve">Id. </w:t>
      </w:r>
      <w:r>
        <w:t>at 324.</w:t>
      </w:r>
      <w:proofErr w:type="gramEnd"/>
      <w:r>
        <w:t xml:space="preserve"> The n</w:t>
      </w:r>
      <w:r>
        <w:t xml:space="preserve">onmoving party cannot defeat a well-supported motion for summary judgment by merely reasserting unsupported factual allegations contained in his or her pleadings. </w:t>
      </w:r>
      <w:proofErr w:type="gramStart"/>
      <w:r>
        <w:rPr>
          <w:rFonts w:cs="Palatino Linotype"/>
          <w:i/>
        </w:rPr>
        <w:t xml:space="preserve">Williams </w:t>
      </w:r>
      <w:r>
        <w:rPr>
          <w:rFonts w:cs="Palatino Linotype"/>
          <w:i/>
          <w:spacing w:val="-6"/>
        </w:rPr>
        <w:t xml:space="preserve">v. </w:t>
      </w:r>
      <w:r>
        <w:rPr>
          <w:rFonts w:cs="Palatino Linotype"/>
          <w:i/>
        </w:rPr>
        <w:t>Borough of West Chester</w:t>
      </w:r>
      <w:r>
        <w:t xml:space="preserve">, 891 </w:t>
      </w:r>
      <w:r>
        <w:rPr>
          <w:spacing w:val="-4"/>
        </w:rPr>
        <w:t xml:space="preserve">F.2d </w:t>
      </w:r>
      <w:r>
        <w:t xml:space="preserve">458, 460 (3d </w:t>
      </w:r>
      <w:r>
        <w:rPr>
          <w:spacing w:val="-4"/>
        </w:rPr>
        <w:t>Cir.</w:t>
      </w:r>
      <w:r>
        <w:rPr>
          <w:spacing w:val="-5"/>
        </w:rPr>
        <w:t xml:space="preserve"> </w:t>
      </w:r>
      <w:r>
        <w:t>1989).</w:t>
      </w:r>
      <w:proofErr w:type="gramEnd"/>
    </w:p>
    <w:p w:rsidR="002A1594" w:rsidRDefault="002A1594">
      <w:pPr>
        <w:spacing w:before="10"/>
        <w:rPr>
          <w:rFonts w:ascii="Palatino Linotype" w:eastAsia="Palatino Linotype" w:hAnsi="Palatino Linotype" w:cs="Palatino Linotype"/>
          <w:sz w:val="17"/>
          <w:szCs w:val="17"/>
        </w:rPr>
      </w:pPr>
    </w:p>
    <w:p w:rsidR="002A1594" w:rsidRDefault="00073D1D">
      <w:pPr>
        <w:pStyle w:val="Heading3"/>
        <w:numPr>
          <w:ilvl w:val="0"/>
          <w:numId w:val="3"/>
        </w:numPr>
        <w:tabs>
          <w:tab w:val="left" w:pos="829"/>
        </w:tabs>
        <w:ind w:left="828"/>
        <w:jc w:val="both"/>
        <w:rPr>
          <w:b w:val="0"/>
          <w:bCs w:val="0"/>
        </w:rPr>
      </w:pPr>
      <w:r>
        <w:t>JURISDICTION AND</w:t>
      </w:r>
      <w:r>
        <w:rPr>
          <w:spacing w:val="-15"/>
        </w:rPr>
        <w:t xml:space="preserve"> </w:t>
      </w:r>
      <w:r>
        <w:t>VENU</w:t>
      </w:r>
      <w:r>
        <w:t>E</w:t>
      </w:r>
    </w:p>
    <w:p w:rsidR="002A1594" w:rsidRDefault="002A1594">
      <w:pPr>
        <w:spacing w:before="13"/>
        <w:rPr>
          <w:rFonts w:ascii="Palatino Linotype" w:eastAsia="Palatino Linotype" w:hAnsi="Palatino Linotype" w:cs="Palatino Linotype"/>
          <w:b/>
          <w:bCs/>
          <w:sz w:val="21"/>
          <w:szCs w:val="21"/>
        </w:rPr>
      </w:pPr>
    </w:p>
    <w:p w:rsidR="002A1594" w:rsidRDefault="00073D1D">
      <w:pPr>
        <w:pStyle w:val="BodyText"/>
        <w:spacing w:before="0" w:line="480" w:lineRule="auto"/>
        <w:ind w:right="107" w:firstLine="719"/>
        <w:jc w:val="both"/>
      </w:pPr>
      <w:r>
        <w:rPr>
          <w:rFonts w:cs="Palatino Linotype"/>
        </w:rPr>
        <w:t xml:space="preserve">The Court has jurisdiction to entertain the </w:t>
      </w:r>
      <w:r>
        <w:rPr>
          <w:rFonts w:cs="Palatino Linotype"/>
          <w:spacing w:val="-5"/>
        </w:rPr>
        <w:t xml:space="preserve">EEOC’s </w:t>
      </w:r>
      <w:r>
        <w:rPr>
          <w:rFonts w:cs="Palatino Linotype"/>
        </w:rPr>
        <w:t xml:space="preserve">claims pursuant to 28 U.S.C. § </w:t>
      </w:r>
      <w:r>
        <w:t>1331, 42 U.S.C. § 2000e-5(f</w:t>
      </w:r>
      <w:proofErr w:type="gramStart"/>
      <w:r>
        <w:t>)(</w:t>
      </w:r>
      <w:proofErr w:type="gramEnd"/>
      <w:r>
        <w:t xml:space="preserve">3), and 42 U.S.C. § 12117(a). </w:t>
      </w:r>
      <w:r>
        <w:rPr>
          <w:spacing w:val="-4"/>
        </w:rPr>
        <w:t xml:space="preserve">Venue </w:t>
      </w:r>
      <w:r>
        <w:t>is proper under 28 U.S.C. § 1391(b).</w:t>
      </w:r>
    </w:p>
    <w:p w:rsidR="002A1594" w:rsidRDefault="002A1594">
      <w:pPr>
        <w:spacing w:before="10"/>
        <w:rPr>
          <w:rFonts w:ascii="Palatino Linotype" w:eastAsia="Palatino Linotype" w:hAnsi="Palatino Linotype" w:cs="Palatino Linotype"/>
          <w:sz w:val="17"/>
          <w:szCs w:val="17"/>
        </w:rPr>
      </w:pPr>
    </w:p>
    <w:p w:rsidR="002A1594" w:rsidRDefault="00073D1D">
      <w:pPr>
        <w:pStyle w:val="Heading3"/>
        <w:numPr>
          <w:ilvl w:val="0"/>
          <w:numId w:val="3"/>
        </w:numPr>
        <w:tabs>
          <w:tab w:val="left" w:pos="829"/>
        </w:tabs>
        <w:ind w:left="828"/>
        <w:jc w:val="both"/>
        <w:rPr>
          <w:b w:val="0"/>
          <w:bCs w:val="0"/>
        </w:rPr>
      </w:pPr>
      <w:r>
        <w:t>DISCUSSION</w:t>
      </w:r>
    </w:p>
    <w:p w:rsidR="002A1594" w:rsidRDefault="002A1594">
      <w:pPr>
        <w:spacing w:before="2"/>
        <w:rPr>
          <w:rFonts w:ascii="Palatino Linotype" w:eastAsia="Palatino Linotype" w:hAnsi="Palatino Linotype" w:cs="Palatino Linotype"/>
          <w:b/>
          <w:bCs/>
        </w:rPr>
      </w:pPr>
    </w:p>
    <w:p w:rsidR="002A1594" w:rsidRDefault="00073D1D">
      <w:pPr>
        <w:pStyle w:val="BodyText"/>
        <w:spacing w:before="0" w:line="480" w:lineRule="auto"/>
        <w:ind w:right="102" w:firstLine="719"/>
        <w:jc w:val="both"/>
        <w:rPr>
          <w:rFonts w:cs="Palatino Linotype"/>
        </w:rPr>
      </w:pPr>
      <w:r>
        <w:t xml:space="preserve">Title I of the ADA contains provisions governing the conduct of covered employers in relation to their current and prospective employees. </w:t>
      </w:r>
      <w:proofErr w:type="gramStart"/>
      <w:r>
        <w:t xml:space="preserve">42 U.S.C. §§ 12111- </w:t>
      </w:r>
      <w:r>
        <w:rPr>
          <w:rFonts w:cs="Palatino Linotype"/>
        </w:rPr>
        <w:t>12117.</w:t>
      </w:r>
      <w:proofErr w:type="gramEnd"/>
      <w:r>
        <w:rPr>
          <w:rFonts w:cs="Palatino Linotype"/>
        </w:rPr>
        <w:t xml:space="preserve"> Title </w:t>
      </w:r>
      <w:r>
        <w:rPr>
          <w:rFonts w:cs="Palatino Linotype"/>
          <w:spacing w:val="-8"/>
        </w:rPr>
        <w:t xml:space="preserve">I’s </w:t>
      </w:r>
      <w:r>
        <w:rPr>
          <w:rFonts w:cs="Palatino Linotype"/>
        </w:rPr>
        <w:t>anti</w:t>
      </w:r>
      <w:r>
        <w:t xml:space="preserve">-discrimination provision, codified at 42 U.S.C. </w:t>
      </w:r>
      <w:proofErr w:type="gramStart"/>
      <w:r>
        <w:t>§  12112</w:t>
      </w:r>
      <w:proofErr w:type="gramEnd"/>
      <w:r>
        <w:t xml:space="preserve">(a), provides  </w:t>
      </w:r>
      <w:r>
        <w:rPr>
          <w:rFonts w:cs="Palatino Linotype"/>
        </w:rPr>
        <w:t>that</w:t>
      </w:r>
      <w:r>
        <w:rPr>
          <w:rFonts w:cs="Palatino Linotype"/>
          <w:spacing w:val="17"/>
        </w:rPr>
        <w:t xml:space="preserve"> </w:t>
      </w:r>
      <w:r>
        <w:rPr>
          <w:rFonts w:cs="Palatino Linotype"/>
        </w:rPr>
        <w:t>“[n]o</w:t>
      </w:r>
      <w:r>
        <w:rPr>
          <w:rFonts w:cs="Palatino Linotype"/>
          <w:spacing w:val="16"/>
        </w:rPr>
        <w:t xml:space="preserve"> </w:t>
      </w:r>
      <w:r>
        <w:rPr>
          <w:rFonts w:cs="Palatino Linotype"/>
        </w:rPr>
        <w:t>covered</w:t>
      </w:r>
      <w:r>
        <w:rPr>
          <w:rFonts w:cs="Palatino Linotype"/>
          <w:spacing w:val="14"/>
        </w:rPr>
        <w:t xml:space="preserve"> </w:t>
      </w:r>
      <w:r>
        <w:rPr>
          <w:rFonts w:cs="Palatino Linotype"/>
        </w:rPr>
        <w:t>entity</w:t>
      </w:r>
      <w:r>
        <w:rPr>
          <w:rFonts w:cs="Palatino Linotype"/>
          <w:spacing w:val="15"/>
        </w:rPr>
        <w:t xml:space="preserve"> </w:t>
      </w:r>
      <w:r>
        <w:rPr>
          <w:rFonts w:cs="Palatino Linotype"/>
        </w:rPr>
        <w:t>shall</w:t>
      </w:r>
      <w:r>
        <w:rPr>
          <w:rFonts w:cs="Palatino Linotype"/>
          <w:spacing w:val="17"/>
        </w:rPr>
        <w:t xml:space="preserve"> </w:t>
      </w:r>
      <w:r>
        <w:rPr>
          <w:rFonts w:cs="Palatino Linotype"/>
        </w:rPr>
        <w:t>discriminate</w:t>
      </w:r>
      <w:r>
        <w:rPr>
          <w:rFonts w:cs="Palatino Linotype"/>
          <w:spacing w:val="16"/>
        </w:rPr>
        <w:t xml:space="preserve"> </w:t>
      </w:r>
      <w:r>
        <w:rPr>
          <w:rFonts w:cs="Palatino Linotype"/>
        </w:rPr>
        <w:t>against</w:t>
      </w:r>
      <w:r>
        <w:rPr>
          <w:rFonts w:cs="Palatino Linotype"/>
          <w:spacing w:val="17"/>
        </w:rPr>
        <w:t xml:space="preserve"> </w:t>
      </w:r>
      <w:r>
        <w:rPr>
          <w:rFonts w:cs="Palatino Linotype"/>
        </w:rPr>
        <w:t>a</w:t>
      </w:r>
      <w:r>
        <w:rPr>
          <w:rFonts w:cs="Palatino Linotype"/>
          <w:spacing w:val="17"/>
        </w:rPr>
        <w:t xml:space="preserve"> </w:t>
      </w:r>
      <w:r>
        <w:rPr>
          <w:rFonts w:cs="Palatino Linotype"/>
        </w:rPr>
        <w:t>qualified</w:t>
      </w:r>
      <w:r>
        <w:rPr>
          <w:rFonts w:cs="Palatino Linotype"/>
          <w:spacing w:val="16"/>
        </w:rPr>
        <w:t xml:space="preserve"> </w:t>
      </w:r>
      <w:r>
        <w:rPr>
          <w:rFonts w:cs="Palatino Linotype"/>
        </w:rPr>
        <w:t>individual</w:t>
      </w:r>
      <w:r>
        <w:rPr>
          <w:rFonts w:cs="Palatino Linotype"/>
          <w:spacing w:val="15"/>
        </w:rPr>
        <w:t xml:space="preserve"> </w:t>
      </w:r>
      <w:r>
        <w:rPr>
          <w:rFonts w:cs="Palatino Linotype"/>
        </w:rPr>
        <w:t>on</w:t>
      </w:r>
      <w:r>
        <w:rPr>
          <w:rFonts w:cs="Palatino Linotype"/>
          <w:spacing w:val="17"/>
        </w:rPr>
        <w:t xml:space="preserve"> </w:t>
      </w:r>
      <w:r>
        <w:rPr>
          <w:rFonts w:cs="Palatino Linotype"/>
        </w:rPr>
        <w:t>the</w:t>
      </w:r>
      <w:r>
        <w:rPr>
          <w:rFonts w:cs="Palatino Linotype"/>
          <w:spacing w:val="19"/>
        </w:rPr>
        <w:t xml:space="preserve"> </w:t>
      </w:r>
      <w:r>
        <w:rPr>
          <w:rFonts w:cs="Palatino Linotype"/>
        </w:rPr>
        <w:t>basis</w:t>
      </w:r>
      <w:r>
        <w:rPr>
          <w:rFonts w:cs="Palatino Linotype"/>
          <w:spacing w:val="17"/>
        </w:rPr>
        <w:t xml:space="preserve"> </w:t>
      </w:r>
      <w:r>
        <w:rPr>
          <w:rFonts w:cs="Palatino Linotype"/>
        </w:rPr>
        <w:t>of</w:t>
      </w:r>
    </w:p>
    <w:p w:rsidR="002A1594" w:rsidRDefault="002A1594">
      <w:pPr>
        <w:spacing w:before="5"/>
        <w:rPr>
          <w:rFonts w:ascii="Palatino Linotype" w:eastAsia="Palatino Linotype" w:hAnsi="Palatino Linotype" w:cs="Palatino Linotype"/>
          <w:sz w:val="8"/>
          <w:szCs w:val="8"/>
        </w:rPr>
      </w:pPr>
    </w:p>
    <w:p w:rsidR="002A1594" w:rsidRDefault="00073D1D">
      <w:pPr>
        <w:pStyle w:val="BodyText"/>
        <w:ind w:left="4371" w:right="4369"/>
        <w:jc w:val="center"/>
      </w:pPr>
      <w:r>
        <w:t>6</w:t>
      </w:r>
    </w:p>
    <w:p w:rsidR="002A1594" w:rsidRDefault="002A1594">
      <w:pPr>
        <w:jc w:val="center"/>
        <w:sectPr w:rsidR="002A1594">
          <w:pgSz w:w="12240" w:h="15840"/>
          <w:pgMar w:top="540" w:right="162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103"/>
        <w:jc w:val="both"/>
      </w:pPr>
      <w:r>
        <w:t>disability in regard to job application procedures, the hiring, advancement, or discharge  of employees, employee compensation, job training, and oth</w:t>
      </w:r>
      <w:r>
        <w:t xml:space="preserve">er terms, conditions, and </w:t>
      </w:r>
      <w:r>
        <w:rPr>
          <w:rFonts w:cs="Palatino Linotype"/>
        </w:rPr>
        <w:t xml:space="preserve">privileges of employment.” The term “qualified individual” is defined as “an individual </w:t>
      </w:r>
      <w:r>
        <w:t>who, with or without reasonable accommodation, can perform the essential functions of the employment position that such individual holds o</w:t>
      </w:r>
      <w:r>
        <w:rPr>
          <w:rFonts w:cs="Palatino Linotype"/>
        </w:rPr>
        <w:t>r de</w:t>
      </w:r>
      <w:r>
        <w:rPr>
          <w:rFonts w:cs="Palatino Linotype"/>
        </w:rPr>
        <w:t xml:space="preserve">sires.” </w:t>
      </w:r>
      <w:proofErr w:type="gramStart"/>
      <w:r>
        <w:rPr>
          <w:rFonts w:cs="Palatino Linotype"/>
        </w:rPr>
        <w:t>42 U.S.C. § 12111(8).</w:t>
      </w:r>
      <w:proofErr w:type="gramEnd"/>
      <w:r>
        <w:rPr>
          <w:rFonts w:cs="Palatino Linotype"/>
        </w:rPr>
        <w:t xml:space="preserve"> </w:t>
      </w:r>
      <w:r>
        <w:rPr>
          <w:spacing w:val="-2"/>
        </w:rPr>
        <w:t xml:space="preserve">The </w:t>
      </w:r>
      <w:r>
        <w:rPr>
          <w:rFonts w:cs="Palatino Linotype"/>
        </w:rPr>
        <w:t xml:space="preserve">“discrimination” prohibited by § 12112(a) is defined broadly enough to include a covered </w:t>
      </w:r>
      <w:r>
        <w:rPr>
          <w:rFonts w:cs="Palatino Linotype"/>
          <w:spacing w:val="-4"/>
        </w:rPr>
        <w:t xml:space="preserve">entity’s </w:t>
      </w:r>
      <w:r>
        <w:rPr>
          <w:rFonts w:cs="Palatino Linotype"/>
        </w:rPr>
        <w:t>failure or refusal to “</w:t>
      </w:r>
      <w:proofErr w:type="spellStart"/>
      <w:r>
        <w:rPr>
          <w:rFonts w:cs="Palatino Linotype"/>
        </w:rPr>
        <w:t>mak</w:t>
      </w:r>
      <w:proofErr w:type="spellEnd"/>
      <w:r>
        <w:rPr>
          <w:rFonts w:cs="Palatino Linotype"/>
        </w:rPr>
        <w:t xml:space="preserve">[e] reasonable accommodations to the known physical or </w:t>
      </w:r>
      <w:r>
        <w:t>mental limitations of an otherwise qualifie</w:t>
      </w:r>
      <w:r>
        <w:t xml:space="preserve">d individual with a disability who is an applicant or employee, unless such covered entity can demonstrate that the accommodation would impose an undue hardship on the operation of the business of </w:t>
      </w:r>
      <w:r>
        <w:rPr>
          <w:rFonts w:cs="Palatino Linotype"/>
        </w:rPr>
        <w:t xml:space="preserve">such covered </w:t>
      </w:r>
      <w:r>
        <w:rPr>
          <w:rFonts w:cs="Palatino Linotype"/>
          <w:spacing w:val="-4"/>
        </w:rPr>
        <w:t xml:space="preserve">entity,” </w:t>
      </w:r>
      <w:r>
        <w:rPr>
          <w:rFonts w:cs="Palatino Linotype"/>
        </w:rPr>
        <w:t>or its “den[</w:t>
      </w:r>
      <w:proofErr w:type="spellStart"/>
      <w:r>
        <w:rPr>
          <w:rFonts w:cs="Palatino Linotype"/>
        </w:rPr>
        <w:t>ial</w:t>
      </w:r>
      <w:proofErr w:type="spellEnd"/>
      <w:r>
        <w:rPr>
          <w:rFonts w:cs="Palatino Linotype"/>
        </w:rPr>
        <w:t xml:space="preserve"> </w:t>
      </w:r>
      <w:r>
        <w:rPr>
          <w:rFonts w:cs="Palatino Linotype"/>
          <w:spacing w:val="2"/>
        </w:rPr>
        <w:t xml:space="preserve">of] </w:t>
      </w:r>
      <w:r>
        <w:rPr>
          <w:rFonts w:cs="Palatino Linotype"/>
        </w:rPr>
        <w:t xml:space="preserve">employment </w:t>
      </w:r>
      <w:r>
        <w:t xml:space="preserve">opportunities to a job applicant or employee who is an otherwise qualified individual with a </w:t>
      </w:r>
      <w:r>
        <w:rPr>
          <w:spacing w:val="-3"/>
        </w:rPr>
        <w:t xml:space="preserve">disability, </w:t>
      </w:r>
      <w:r>
        <w:t>if such denial is  based on the need of such covered entity to make reasonable accommodation[s] to the physical or mental impairments of the employee o</w:t>
      </w:r>
      <w:r>
        <w:t xml:space="preserve">r </w:t>
      </w:r>
      <w:r>
        <w:rPr>
          <w:rFonts w:cs="Palatino Linotype"/>
        </w:rPr>
        <w:t xml:space="preserve">applicant . . . .” 42 U.S.C. § </w:t>
      </w:r>
      <w:r>
        <w:t>12112(b</w:t>
      </w:r>
      <w:proofErr w:type="gramStart"/>
      <w:r>
        <w:t>)(</w:t>
      </w:r>
      <w:proofErr w:type="gramEnd"/>
      <w:r>
        <w:t>5)(A)-</w:t>
      </w:r>
      <w:r>
        <w:rPr>
          <w:rFonts w:cs="Palatino Linotype"/>
        </w:rPr>
        <w:t>(B). In this context, “reasonable accommodations” may include “job restructuring,” a “part</w:t>
      </w:r>
      <w:r>
        <w:t>-</w:t>
      </w:r>
      <w:r>
        <w:rPr>
          <w:rFonts w:cs="Palatino Linotype"/>
        </w:rPr>
        <w:t>time or modified” work schedule, a “reassignment to a vacant position,” or the “acquisition or modification of equipm</w:t>
      </w:r>
      <w:r>
        <w:rPr>
          <w:rFonts w:cs="Palatino Linotype"/>
        </w:rPr>
        <w:t xml:space="preserve">ent or devices.” 42 U.S.C. § </w:t>
      </w:r>
      <w:r>
        <w:t>12111(9</w:t>
      </w:r>
      <w:proofErr w:type="gramStart"/>
      <w:r>
        <w:t>)(</w:t>
      </w:r>
      <w:proofErr w:type="gramEnd"/>
      <w:r>
        <w:t>B).</w:t>
      </w:r>
    </w:p>
    <w:p w:rsidR="002A1594" w:rsidRDefault="00073D1D">
      <w:pPr>
        <w:pStyle w:val="BodyText"/>
        <w:spacing w:before="0" w:line="480" w:lineRule="auto"/>
        <w:ind w:right="105" w:firstLine="719"/>
        <w:jc w:val="both"/>
        <w:rPr>
          <w:rFonts w:cs="Palatino Linotype"/>
        </w:rPr>
      </w:pPr>
      <w:r>
        <w:t xml:space="preserve">Since § 12112(a) </w:t>
      </w:r>
      <w:r>
        <w:rPr>
          <w:rFonts w:cs="Palatino Linotype"/>
        </w:rPr>
        <w:t xml:space="preserve">prohibits only discrimination “on the basis of </w:t>
      </w:r>
      <w:r>
        <w:rPr>
          <w:rFonts w:cs="Palatino Linotype"/>
          <w:spacing w:val="-3"/>
        </w:rPr>
        <w:t xml:space="preserve">disability,” </w:t>
      </w:r>
      <w:r>
        <w:rPr>
          <w:rFonts w:cs="Palatino Linotype"/>
        </w:rPr>
        <w:t xml:space="preserve">an individual must be “disabled” to enjoy statutory protection </w:t>
      </w:r>
      <w:r>
        <w:rPr>
          <w:rFonts w:cs="Palatino Linotype"/>
          <w:spacing w:val="-3"/>
        </w:rPr>
        <w:t xml:space="preserve">thereunder. </w:t>
      </w:r>
      <w:proofErr w:type="spellStart"/>
      <w:proofErr w:type="gramStart"/>
      <w:r>
        <w:rPr>
          <w:rFonts w:cs="Palatino Linotype"/>
          <w:i/>
        </w:rPr>
        <w:t>Macfarlan</w:t>
      </w:r>
      <w:proofErr w:type="spellEnd"/>
      <w:r>
        <w:rPr>
          <w:rFonts w:cs="Palatino Linotype"/>
          <w:i/>
        </w:rPr>
        <w:t xml:space="preserve"> </w:t>
      </w:r>
      <w:r>
        <w:rPr>
          <w:rFonts w:cs="Palatino Linotype"/>
          <w:i/>
          <w:spacing w:val="-6"/>
        </w:rPr>
        <w:t xml:space="preserve">v. </w:t>
      </w:r>
      <w:r>
        <w:rPr>
          <w:rFonts w:cs="Palatino Linotype"/>
          <w:i/>
        </w:rPr>
        <w:t xml:space="preserve">Ivy Hill </w:t>
      </w:r>
      <w:r>
        <w:rPr>
          <w:rFonts w:cs="Palatino Linotype"/>
          <w:i/>
          <w:spacing w:val="-7"/>
        </w:rPr>
        <w:t xml:space="preserve">SNF, </w:t>
      </w:r>
      <w:r>
        <w:rPr>
          <w:rFonts w:cs="Palatino Linotype"/>
          <w:i/>
        </w:rPr>
        <w:t>LLC</w:t>
      </w:r>
      <w:r>
        <w:t xml:space="preserve">, 675 </w:t>
      </w:r>
      <w:r>
        <w:rPr>
          <w:spacing w:val="-5"/>
        </w:rPr>
        <w:t xml:space="preserve">F.3d </w:t>
      </w:r>
      <w:r>
        <w:t xml:space="preserve">266, 274 (3d </w:t>
      </w:r>
      <w:r>
        <w:rPr>
          <w:spacing w:val="-4"/>
        </w:rPr>
        <w:t>Cir</w:t>
      </w:r>
      <w:r>
        <w:rPr>
          <w:rFonts w:cs="Palatino Linotype"/>
          <w:spacing w:val="-4"/>
        </w:rPr>
        <w:t xml:space="preserve">. </w:t>
      </w:r>
      <w:r>
        <w:rPr>
          <w:rFonts w:cs="Palatino Linotype"/>
        </w:rPr>
        <w:t>201</w:t>
      </w:r>
      <w:r>
        <w:rPr>
          <w:rFonts w:cs="Palatino Linotype"/>
        </w:rPr>
        <w:t>2).</w:t>
      </w:r>
      <w:proofErr w:type="gramEnd"/>
      <w:r>
        <w:rPr>
          <w:rFonts w:cs="Palatino Linotype"/>
        </w:rPr>
        <w:t xml:space="preserve"> “[A] physical or mental impairment that substantially</w:t>
      </w:r>
      <w:r>
        <w:rPr>
          <w:rFonts w:cs="Palatino Linotype"/>
          <w:spacing w:val="35"/>
        </w:rPr>
        <w:t xml:space="preserve"> </w:t>
      </w:r>
      <w:r>
        <w:rPr>
          <w:rFonts w:cs="Palatino Linotype"/>
        </w:rPr>
        <w:t>limits</w:t>
      </w:r>
      <w:r>
        <w:rPr>
          <w:rFonts w:cs="Palatino Linotype"/>
          <w:spacing w:val="35"/>
        </w:rPr>
        <w:t xml:space="preserve"> </w:t>
      </w:r>
      <w:r>
        <w:rPr>
          <w:rFonts w:cs="Palatino Linotype"/>
        </w:rPr>
        <w:t>one</w:t>
      </w:r>
      <w:r>
        <w:rPr>
          <w:rFonts w:cs="Palatino Linotype"/>
          <w:spacing w:val="34"/>
        </w:rPr>
        <w:t xml:space="preserve"> </w:t>
      </w:r>
      <w:r>
        <w:rPr>
          <w:rFonts w:cs="Palatino Linotype"/>
        </w:rPr>
        <w:t>or</w:t>
      </w:r>
      <w:r>
        <w:rPr>
          <w:rFonts w:cs="Palatino Linotype"/>
          <w:spacing w:val="38"/>
        </w:rPr>
        <w:t xml:space="preserve"> </w:t>
      </w:r>
      <w:r>
        <w:rPr>
          <w:rFonts w:cs="Palatino Linotype"/>
        </w:rPr>
        <w:t>more</w:t>
      </w:r>
      <w:r>
        <w:rPr>
          <w:rFonts w:cs="Palatino Linotype"/>
          <w:spacing w:val="37"/>
        </w:rPr>
        <w:t xml:space="preserve"> </w:t>
      </w:r>
      <w:r>
        <w:rPr>
          <w:rFonts w:cs="Palatino Linotype"/>
        </w:rPr>
        <w:t>[of</w:t>
      </w:r>
      <w:r>
        <w:rPr>
          <w:rFonts w:cs="Palatino Linotype"/>
          <w:spacing w:val="38"/>
        </w:rPr>
        <w:t xml:space="preserve"> </w:t>
      </w:r>
      <w:r>
        <w:rPr>
          <w:rFonts w:cs="Palatino Linotype"/>
        </w:rPr>
        <w:t>an</w:t>
      </w:r>
      <w:r>
        <w:rPr>
          <w:rFonts w:cs="Palatino Linotype"/>
          <w:spacing w:val="35"/>
        </w:rPr>
        <w:t xml:space="preserve"> </w:t>
      </w:r>
      <w:r>
        <w:rPr>
          <w:rFonts w:cs="Palatino Linotype"/>
          <w:spacing w:val="-3"/>
        </w:rPr>
        <w:t>individual’s]</w:t>
      </w:r>
      <w:r>
        <w:rPr>
          <w:rFonts w:cs="Palatino Linotype"/>
          <w:spacing w:val="35"/>
        </w:rPr>
        <w:t xml:space="preserve"> </w:t>
      </w:r>
      <w:r>
        <w:rPr>
          <w:rFonts w:cs="Palatino Linotype"/>
        </w:rPr>
        <w:t>major</w:t>
      </w:r>
      <w:r>
        <w:rPr>
          <w:rFonts w:cs="Palatino Linotype"/>
          <w:spacing w:val="36"/>
        </w:rPr>
        <w:t xml:space="preserve"> </w:t>
      </w:r>
      <w:r>
        <w:rPr>
          <w:rFonts w:cs="Palatino Linotype"/>
        </w:rPr>
        <w:t>life</w:t>
      </w:r>
      <w:r>
        <w:rPr>
          <w:rFonts w:cs="Palatino Linotype"/>
          <w:spacing w:val="37"/>
        </w:rPr>
        <w:t xml:space="preserve"> </w:t>
      </w:r>
      <w:r>
        <w:rPr>
          <w:rFonts w:cs="Palatino Linotype"/>
        </w:rPr>
        <w:t>activities”</w:t>
      </w:r>
      <w:r>
        <w:rPr>
          <w:rFonts w:cs="Palatino Linotype"/>
          <w:spacing w:val="37"/>
        </w:rPr>
        <w:t xml:space="preserve"> </w:t>
      </w:r>
      <w:r>
        <w:rPr>
          <w:rFonts w:cs="Palatino Linotype"/>
        </w:rPr>
        <w:t>qualifies</w:t>
      </w:r>
      <w:r>
        <w:rPr>
          <w:rFonts w:cs="Palatino Linotype"/>
          <w:spacing w:val="34"/>
        </w:rPr>
        <w:t xml:space="preserve"> </w:t>
      </w:r>
      <w:r>
        <w:rPr>
          <w:rFonts w:cs="Palatino Linotype"/>
        </w:rPr>
        <w:t>as</w:t>
      </w:r>
      <w:r>
        <w:rPr>
          <w:rFonts w:cs="Palatino Linotype"/>
          <w:spacing w:val="37"/>
        </w:rPr>
        <w:t xml:space="preserve"> </w:t>
      </w:r>
      <w:r>
        <w:rPr>
          <w:rFonts w:cs="Palatino Linotype"/>
        </w:rPr>
        <w:t>a</w:t>
      </w:r>
    </w:p>
    <w:p w:rsidR="002A1594" w:rsidRDefault="00073D1D">
      <w:pPr>
        <w:pStyle w:val="BodyText"/>
        <w:ind w:left="4371" w:right="4369"/>
        <w:jc w:val="center"/>
      </w:pPr>
      <w:r>
        <w:t>7</w:t>
      </w:r>
    </w:p>
    <w:p w:rsidR="002A1594" w:rsidRDefault="002A1594">
      <w:pPr>
        <w:jc w:val="center"/>
        <w:sectPr w:rsidR="002A1594">
          <w:pgSz w:w="12240" w:h="15840"/>
          <w:pgMar w:top="540" w:right="162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101"/>
        <w:jc w:val="both"/>
      </w:pPr>
      <w:r>
        <w:rPr>
          <w:rFonts w:cs="Palatino Linotype"/>
        </w:rPr>
        <w:t>“</w:t>
      </w:r>
      <w:proofErr w:type="gramStart"/>
      <w:r>
        <w:rPr>
          <w:rFonts w:cs="Palatino Linotype"/>
        </w:rPr>
        <w:t>disability</w:t>
      </w:r>
      <w:proofErr w:type="gramEnd"/>
      <w:r>
        <w:rPr>
          <w:rFonts w:cs="Palatino Linotype"/>
        </w:rPr>
        <w:t>” under the ADA.</w:t>
      </w:r>
      <w:r>
        <w:rPr>
          <w:position w:val="6"/>
          <w:sz w:val="13"/>
          <w:szCs w:val="13"/>
        </w:rPr>
        <w:t xml:space="preserve">1 </w:t>
      </w:r>
      <w:r>
        <w:t xml:space="preserve">42 U.S.C. § 12102(1)(A). It is axiomatic that an employer </w:t>
      </w:r>
      <w:r>
        <w:t>cannot discriminate again</w:t>
      </w:r>
      <w:r>
        <w:rPr>
          <w:rFonts w:cs="Palatino Linotype"/>
        </w:rPr>
        <w:t xml:space="preserve">st an applicant for employment “on the basis of disability” </w:t>
      </w:r>
      <w:r>
        <w:t xml:space="preserve">without </w:t>
      </w:r>
      <w:r>
        <w:rPr>
          <w:rFonts w:cs="Palatino Linotype"/>
          <w:i/>
        </w:rPr>
        <w:t xml:space="preserve">knowing </w:t>
      </w:r>
      <w:r>
        <w:rPr>
          <w:rFonts w:cs="Palatino Linotype"/>
        </w:rPr>
        <w:t xml:space="preserve">that he or she is “disabled.” </w:t>
      </w:r>
      <w:proofErr w:type="spellStart"/>
      <w:r>
        <w:rPr>
          <w:rFonts w:cs="Palatino Linotype"/>
          <w:i/>
        </w:rPr>
        <w:t>Geraci</w:t>
      </w:r>
      <w:proofErr w:type="spellEnd"/>
      <w:r>
        <w:rPr>
          <w:rFonts w:cs="Palatino Linotype"/>
          <w:i/>
        </w:rPr>
        <w:t xml:space="preserve"> </w:t>
      </w:r>
      <w:r>
        <w:rPr>
          <w:rFonts w:cs="Palatino Linotype"/>
          <w:i/>
          <w:spacing w:val="-6"/>
        </w:rPr>
        <w:t xml:space="preserve">v. </w:t>
      </w:r>
      <w:r>
        <w:rPr>
          <w:rFonts w:cs="Palatino Linotype"/>
          <w:i/>
          <w:spacing w:val="-3"/>
        </w:rPr>
        <w:t>Moody-</w:t>
      </w:r>
      <w:proofErr w:type="spellStart"/>
      <w:r>
        <w:rPr>
          <w:rFonts w:cs="Palatino Linotype"/>
          <w:i/>
          <w:spacing w:val="-3"/>
        </w:rPr>
        <w:t>Tottrup</w:t>
      </w:r>
      <w:proofErr w:type="spellEnd"/>
      <w:proofErr w:type="gramStart"/>
      <w:r>
        <w:rPr>
          <w:rFonts w:cs="Palatino Linotype"/>
          <w:i/>
          <w:spacing w:val="-3"/>
        </w:rPr>
        <w:t xml:space="preserve">,  </w:t>
      </w:r>
      <w:r>
        <w:rPr>
          <w:rFonts w:cs="Palatino Linotype"/>
          <w:i/>
        </w:rPr>
        <w:t>Int’l</w:t>
      </w:r>
      <w:proofErr w:type="gramEnd"/>
      <w:r>
        <w:rPr>
          <w:rFonts w:cs="Palatino Linotype"/>
          <w:i/>
        </w:rPr>
        <w:t>, Inc.</w:t>
      </w:r>
      <w:r>
        <w:t xml:space="preserve">, 82 </w:t>
      </w:r>
      <w:r>
        <w:rPr>
          <w:spacing w:val="-5"/>
        </w:rPr>
        <w:t xml:space="preserve">F.3d  </w:t>
      </w:r>
      <w:r>
        <w:t xml:space="preserve">578, 581 (3d </w:t>
      </w:r>
      <w:r>
        <w:rPr>
          <w:spacing w:val="-4"/>
        </w:rPr>
        <w:t xml:space="preserve">Cir. </w:t>
      </w:r>
      <w:r>
        <w:t xml:space="preserve">1996). </w:t>
      </w:r>
      <w:r>
        <w:rPr>
          <w:spacing w:val="-8"/>
        </w:rPr>
        <w:t xml:space="preserve">To </w:t>
      </w:r>
      <w:r>
        <w:t>provide prospective employees with prophylactic protection against the for</w:t>
      </w:r>
      <w:r>
        <w:rPr>
          <w:rFonts w:cs="Palatino Linotype"/>
        </w:rPr>
        <w:t xml:space="preserve">ms of “discrimination” proscribed by Title I, Congress has taken steps to </w:t>
      </w:r>
      <w:r>
        <w:t xml:space="preserve">limit the information available to covered employers at critical stages of the </w:t>
      </w:r>
      <w:proofErr w:type="gramStart"/>
      <w:r>
        <w:t>hiring  process</w:t>
      </w:r>
      <w:proofErr w:type="gramEnd"/>
      <w:r>
        <w:t>. The provisio</w:t>
      </w:r>
      <w:r>
        <w:t>ns of the ADA pertaining to medical examinations and inquiries are codified at 42 U.S.C. § 12112(d), which</w:t>
      </w:r>
      <w:r>
        <w:rPr>
          <w:spacing w:val="-9"/>
        </w:rPr>
        <w:t xml:space="preserve"> </w:t>
      </w:r>
      <w:r>
        <w:t>provides:</w:t>
      </w:r>
    </w:p>
    <w:p w:rsidR="002A1594" w:rsidRDefault="00073D1D">
      <w:pPr>
        <w:pStyle w:val="Heading3"/>
        <w:numPr>
          <w:ilvl w:val="1"/>
          <w:numId w:val="3"/>
        </w:numPr>
        <w:tabs>
          <w:tab w:val="left" w:pos="1167"/>
        </w:tabs>
        <w:spacing w:before="1"/>
        <w:rPr>
          <w:b w:val="0"/>
          <w:bCs w:val="0"/>
        </w:rPr>
      </w:pPr>
      <w:proofErr w:type="gramStart"/>
      <w:r>
        <w:t>Medical examinations and</w:t>
      </w:r>
      <w:r>
        <w:rPr>
          <w:spacing w:val="-12"/>
        </w:rPr>
        <w:t xml:space="preserve"> </w:t>
      </w:r>
      <w:r>
        <w:t>inquiries.</w:t>
      </w:r>
      <w:proofErr w:type="gramEnd"/>
    </w:p>
    <w:p w:rsidR="002A1594" w:rsidRDefault="002A1594">
      <w:pPr>
        <w:spacing w:before="9"/>
        <w:rPr>
          <w:rFonts w:ascii="Palatino Linotype" w:eastAsia="Palatino Linotype" w:hAnsi="Palatino Linotype" w:cs="Palatino Linotype"/>
          <w:b/>
          <w:bCs/>
          <w:sz w:val="17"/>
          <w:szCs w:val="17"/>
        </w:rPr>
      </w:pPr>
    </w:p>
    <w:p w:rsidR="002A1594" w:rsidRDefault="00073D1D">
      <w:pPr>
        <w:pStyle w:val="ListParagraph"/>
        <w:numPr>
          <w:ilvl w:val="2"/>
          <w:numId w:val="3"/>
        </w:numPr>
        <w:tabs>
          <w:tab w:val="left" w:pos="1203"/>
        </w:tabs>
        <w:ind w:right="829" w:hanging="374"/>
        <w:jc w:val="both"/>
        <w:rPr>
          <w:rFonts w:ascii="Palatino Linotype" w:eastAsia="Palatino Linotype" w:hAnsi="Palatino Linotype" w:cs="Palatino Linotype"/>
        </w:rPr>
      </w:pPr>
      <w:r>
        <w:rPr>
          <w:rFonts w:ascii="Palatino Linotype"/>
        </w:rPr>
        <w:t xml:space="preserve">In general. </w:t>
      </w:r>
      <w:r>
        <w:rPr>
          <w:rFonts w:ascii="Palatino Linotype"/>
          <w:spacing w:val="-2"/>
        </w:rPr>
        <w:t xml:space="preserve">The </w:t>
      </w:r>
      <w:r>
        <w:rPr>
          <w:rFonts w:ascii="Palatino Linotype"/>
        </w:rPr>
        <w:t>prohibition against discrimination as referred to in subsection (a) shall include medi</w:t>
      </w:r>
      <w:r>
        <w:rPr>
          <w:rFonts w:ascii="Palatino Linotype"/>
        </w:rPr>
        <w:t>cal examinations and</w:t>
      </w:r>
      <w:r>
        <w:rPr>
          <w:rFonts w:ascii="Palatino Linotype"/>
          <w:spacing w:val="-24"/>
        </w:rPr>
        <w:t xml:space="preserve"> </w:t>
      </w:r>
      <w:r>
        <w:rPr>
          <w:rFonts w:ascii="Palatino Linotype"/>
        </w:rPr>
        <w:t>inquiries.</w:t>
      </w:r>
    </w:p>
    <w:p w:rsidR="002A1594" w:rsidRDefault="002A1594">
      <w:pPr>
        <w:spacing w:before="13"/>
        <w:rPr>
          <w:rFonts w:ascii="Palatino Linotype" w:eastAsia="Palatino Linotype" w:hAnsi="Palatino Linotype" w:cs="Palatino Linotype"/>
          <w:sz w:val="21"/>
          <w:szCs w:val="21"/>
        </w:rPr>
      </w:pPr>
    </w:p>
    <w:p w:rsidR="002A1594" w:rsidRDefault="00073D1D">
      <w:pPr>
        <w:pStyle w:val="ListParagraph"/>
        <w:numPr>
          <w:ilvl w:val="2"/>
          <w:numId w:val="3"/>
        </w:numPr>
        <w:tabs>
          <w:tab w:val="left" w:pos="1203"/>
        </w:tabs>
        <w:ind w:hanging="374"/>
        <w:rPr>
          <w:rFonts w:ascii="Palatino Linotype" w:eastAsia="Palatino Linotype" w:hAnsi="Palatino Linotype" w:cs="Palatino Linotype"/>
        </w:rPr>
      </w:pPr>
      <w:proofErr w:type="spellStart"/>
      <w:r>
        <w:rPr>
          <w:rFonts w:ascii="Palatino Linotype"/>
        </w:rPr>
        <w:t>Preemployment</w:t>
      </w:r>
      <w:proofErr w:type="spellEnd"/>
      <w:r>
        <w:rPr>
          <w:rFonts w:ascii="Palatino Linotype"/>
        </w:rPr>
        <w:t>.</w:t>
      </w:r>
    </w:p>
    <w:p w:rsidR="002A1594" w:rsidRDefault="00073D1D">
      <w:pPr>
        <w:pStyle w:val="ListParagraph"/>
        <w:numPr>
          <w:ilvl w:val="3"/>
          <w:numId w:val="3"/>
        </w:numPr>
        <w:tabs>
          <w:tab w:val="left" w:pos="1969"/>
        </w:tabs>
        <w:ind w:right="823"/>
        <w:jc w:val="both"/>
        <w:rPr>
          <w:rFonts w:ascii="Palatino Linotype" w:eastAsia="Palatino Linotype" w:hAnsi="Palatino Linotype" w:cs="Palatino Linotype"/>
        </w:rPr>
      </w:pPr>
      <w:r>
        <w:rPr>
          <w:rFonts w:ascii="Palatino Linotype"/>
        </w:rPr>
        <w:t xml:space="preserve">Prohibited examination or </w:t>
      </w:r>
      <w:r>
        <w:rPr>
          <w:rFonts w:ascii="Palatino Linotype"/>
          <w:spacing w:val="-4"/>
        </w:rPr>
        <w:t xml:space="preserve">inquiry. </w:t>
      </w:r>
      <w:r>
        <w:rPr>
          <w:rFonts w:ascii="Palatino Linotype"/>
        </w:rPr>
        <w:t>Except as provided in paragraph (3), a covered entity shall not conduct a medical examination or make inquiries of a job applicant as to whether such applicant is an individ</w:t>
      </w:r>
      <w:r>
        <w:rPr>
          <w:rFonts w:ascii="Palatino Linotype"/>
        </w:rPr>
        <w:t>ual with a disability or as to the nature or severity of such</w:t>
      </w:r>
      <w:r>
        <w:rPr>
          <w:rFonts w:ascii="Palatino Linotype"/>
          <w:spacing w:val="-1"/>
        </w:rPr>
        <w:t xml:space="preserve"> </w:t>
      </w:r>
      <w:r>
        <w:rPr>
          <w:rFonts w:ascii="Palatino Linotype"/>
          <w:spacing w:val="-3"/>
        </w:rPr>
        <w:t>disability.</w:t>
      </w:r>
    </w:p>
    <w:p w:rsidR="002A1594" w:rsidRDefault="00073D1D">
      <w:pPr>
        <w:pStyle w:val="ListParagraph"/>
        <w:numPr>
          <w:ilvl w:val="3"/>
          <w:numId w:val="3"/>
        </w:numPr>
        <w:tabs>
          <w:tab w:val="left" w:pos="1969"/>
        </w:tabs>
        <w:ind w:right="824"/>
        <w:jc w:val="both"/>
        <w:rPr>
          <w:rFonts w:ascii="Palatino Linotype" w:eastAsia="Palatino Linotype" w:hAnsi="Palatino Linotype" w:cs="Palatino Linotype"/>
        </w:rPr>
      </w:pPr>
      <w:r>
        <w:rPr>
          <w:rFonts w:ascii="Palatino Linotype"/>
        </w:rPr>
        <w:t xml:space="preserve">Acceptable </w:t>
      </w:r>
      <w:r>
        <w:rPr>
          <w:rFonts w:ascii="Palatino Linotype"/>
          <w:spacing w:val="-4"/>
        </w:rPr>
        <w:t xml:space="preserve">inquiry. </w:t>
      </w:r>
      <w:r>
        <w:rPr>
          <w:rFonts w:ascii="Palatino Linotype"/>
        </w:rPr>
        <w:t xml:space="preserve">A covered entity </w:t>
      </w:r>
      <w:proofErr w:type="gramStart"/>
      <w:r>
        <w:rPr>
          <w:rFonts w:ascii="Palatino Linotype"/>
        </w:rPr>
        <w:t>may  make</w:t>
      </w:r>
      <w:proofErr w:type="gramEnd"/>
      <w:r>
        <w:rPr>
          <w:rFonts w:ascii="Palatino Linotype"/>
        </w:rPr>
        <w:t xml:space="preserve"> </w:t>
      </w:r>
      <w:proofErr w:type="spellStart"/>
      <w:r>
        <w:rPr>
          <w:rFonts w:ascii="Palatino Linotype"/>
        </w:rPr>
        <w:t>preemployment</w:t>
      </w:r>
      <w:proofErr w:type="spellEnd"/>
      <w:r>
        <w:rPr>
          <w:rFonts w:ascii="Palatino Linotype"/>
        </w:rPr>
        <w:t xml:space="preserve"> inquiries into the ability of an applicant to perform job-related</w:t>
      </w:r>
      <w:r>
        <w:rPr>
          <w:rFonts w:ascii="Palatino Linotype"/>
          <w:spacing w:val="-8"/>
        </w:rPr>
        <w:t xml:space="preserve"> </w:t>
      </w:r>
      <w:r>
        <w:rPr>
          <w:rFonts w:ascii="Palatino Linotype"/>
        </w:rPr>
        <w:t>functions.</w:t>
      </w:r>
    </w:p>
    <w:p w:rsidR="002A1594" w:rsidRDefault="002A1594">
      <w:pPr>
        <w:spacing w:before="13"/>
        <w:rPr>
          <w:rFonts w:ascii="Palatino Linotype" w:eastAsia="Palatino Linotype" w:hAnsi="Palatino Linotype" w:cs="Palatino Linotype"/>
          <w:sz w:val="21"/>
          <w:szCs w:val="21"/>
        </w:rPr>
      </w:pPr>
    </w:p>
    <w:p w:rsidR="002A1594" w:rsidRDefault="00073D1D">
      <w:pPr>
        <w:pStyle w:val="ListParagraph"/>
        <w:numPr>
          <w:ilvl w:val="2"/>
          <w:numId w:val="3"/>
        </w:numPr>
        <w:tabs>
          <w:tab w:val="left" w:pos="1203"/>
        </w:tabs>
        <w:ind w:right="824" w:hanging="374"/>
        <w:jc w:val="both"/>
        <w:rPr>
          <w:rFonts w:ascii="Palatino Linotype" w:eastAsia="Palatino Linotype" w:hAnsi="Palatino Linotype" w:cs="Palatino Linotype"/>
        </w:rPr>
      </w:pPr>
      <w:r>
        <w:rPr>
          <w:rFonts w:ascii="Palatino Linotype" w:eastAsia="Palatino Linotype" w:hAnsi="Palatino Linotype" w:cs="Palatino Linotype"/>
        </w:rPr>
        <w:t xml:space="preserve">Employment entrance examination. A covered </w:t>
      </w:r>
      <w:r>
        <w:rPr>
          <w:rFonts w:ascii="Palatino Linotype" w:eastAsia="Palatino Linotype" w:hAnsi="Palatino Linotype" w:cs="Palatino Linotype"/>
        </w:rPr>
        <w:t>entity may require a medical examination after an offer of employment has been made to a job applicant and prior to the commencement of the employment  duties of such applicant, and may condition an offer of employment on the results of such examination,</w:t>
      </w:r>
      <w:r>
        <w:rPr>
          <w:rFonts w:ascii="Palatino Linotype" w:eastAsia="Palatino Linotype" w:hAnsi="Palatino Linotype" w:cs="Palatino Linotype"/>
          <w:spacing w:val="-8"/>
        </w:rPr>
        <w:t xml:space="preserve"> </w:t>
      </w:r>
      <w:r>
        <w:rPr>
          <w:rFonts w:ascii="Palatino Linotype" w:eastAsia="Palatino Linotype" w:hAnsi="Palatino Linotype" w:cs="Palatino Linotype"/>
        </w:rPr>
        <w:t>i</w:t>
      </w:r>
      <w:r>
        <w:rPr>
          <w:rFonts w:ascii="Palatino Linotype" w:eastAsia="Palatino Linotype" w:hAnsi="Palatino Linotype" w:cs="Palatino Linotype"/>
        </w:rPr>
        <w:t>f—</w:t>
      </w:r>
    </w:p>
    <w:p w:rsidR="002A1594" w:rsidRDefault="002A1594">
      <w:pPr>
        <w:spacing w:before="3"/>
        <w:rPr>
          <w:rFonts w:ascii="Palatino Linotype" w:eastAsia="Palatino Linotype" w:hAnsi="Palatino Linotype" w:cs="Palatino Linotype"/>
          <w:sz w:val="25"/>
          <w:szCs w:val="25"/>
        </w:rPr>
      </w:pPr>
    </w:p>
    <w:p w:rsidR="002A1594" w:rsidRDefault="00073D1D">
      <w:pPr>
        <w:spacing w:line="20" w:lineRule="exact"/>
        <w:ind w:left="102"/>
        <w:rPr>
          <w:rFonts w:ascii="Palatino Linotype" w:eastAsia="Palatino Linotype" w:hAnsi="Palatino Linotype" w:cs="Palatino Linotype"/>
          <w:sz w:val="2"/>
          <w:szCs w:val="2"/>
        </w:rPr>
      </w:pPr>
      <w:r>
        <w:rPr>
          <w:rFonts w:ascii="Palatino Linotype" w:eastAsia="Palatino Linotype" w:hAnsi="Palatino Linotype" w:cs="Palatino Linotype"/>
          <w:sz w:val="2"/>
          <w:szCs w:val="2"/>
        </w:rPr>
      </w:r>
      <w:r>
        <w:rPr>
          <w:rFonts w:ascii="Palatino Linotype" w:eastAsia="Palatino Linotype" w:hAnsi="Palatino Linotype" w:cs="Palatino Linotype"/>
          <w:sz w:val="2"/>
          <w:szCs w:val="2"/>
        </w:rPr>
        <w:pict>
          <v:group id="_x0000_s1073" style="width:144.65pt;height:.6pt;mso-position-horizontal-relative:char;mso-position-vertical-relative:line" coordsize="2893,12">
            <v:group id="_x0000_s1074" style="position:absolute;left:6;top:6;width:2881;height:2" coordorigin="6,6" coordsize="2881,2">
              <v:shape id="_x0000_s1075" style="position:absolute;left:6;top:6;width:2881;height:2" coordorigin="6,6" coordsize="2881,0" path="m6,6r2880,e" filled="f" strokeweight=".6pt">
                <v:path arrowok="t"/>
              </v:shape>
            </v:group>
            <w10:wrap type="none"/>
            <w10:anchorlock/>
          </v:group>
        </w:pict>
      </w:r>
    </w:p>
    <w:p w:rsidR="002A1594" w:rsidRDefault="002A1594">
      <w:pPr>
        <w:spacing w:before="2"/>
        <w:rPr>
          <w:rFonts w:ascii="Palatino Linotype" w:eastAsia="Palatino Linotype" w:hAnsi="Palatino Linotype" w:cs="Palatino Linotype"/>
          <w:sz w:val="5"/>
          <w:szCs w:val="5"/>
        </w:rPr>
      </w:pPr>
    </w:p>
    <w:p w:rsidR="002A1594" w:rsidRDefault="00073D1D">
      <w:pPr>
        <w:spacing w:before="33"/>
        <w:ind w:left="108" w:right="107"/>
        <w:jc w:val="both"/>
        <w:rPr>
          <w:rFonts w:ascii="Palatino Linotype" w:eastAsia="Palatino Linotype" w:hAnsi="Palatino Linotype" w:cs="Palatino Linotype"/>
          <w:sz w:val="21"/>
          <w:szCs w:val="21"/>
        </w:rPr>
      </w:pPr>
      <w:r>
        <w:rPr>
          <w:rFonts w:ascii="Palatino Linotype" w:eastAsia="Palatino Linotype" w:hAnsi="Palatino Linotype" w:cs="Palatino Linotype"/>
          <w:position w:val="6"/>
          <w:sz w:val="13"/>
          <w:szCs w:val="13"/>
        </w:rPr>
        <w:t xml:space="preserve">1 </w:t>
      </w:r>
      <w:r>
        <w:rPr>
          <w:rFonts w:ascii="Palatino Linotype" w:eastAsia="Palatino Linotype" w:hAnsi="Palatino Linotype" w:cs="Palatino Linotype"/>
          <w:sz w:val="21"/>
          <w:szCs w:val="21"/>
        </w:rPr>
        <w:t>The ADA Amendments Act of 2008 broadened the category of individuals entitled to statutory protection under the ADA by expanding the definition of the term “disability.”</w:t>
      </w:r>
      <w:r>
        <w:rPr>
          <w:rFonts w:ascii="Palatino Linotype" w:eastAsia="Palatino Linotype" w:hAnsi="Palatino Linotype" w:cs="Palatino Linotype"/>
          <w:spacing w:val="46"/>
          <w:sz w:val="21"/>
          <w:szCs w:val="21"/>
        </w:rPr>
        <w:t xml:space="preserve"> </w:t>
      </w:r>
      <w:proofErr w:type="gramStart"/>
      <w:r>
        <w:rPr>
          <w:rFonts w:ascii="Palatino Linotype" w:eastAsia="Palatino Linotype" w:hAnsi="Palatino Linotype" w:cs="Palatino Linotype"/>
          <w:sz w:val="21"/>
          <w:szCs w:val="21"/>
        </w:rPr>
        <w:t>Pub.</w:t>
      </w:r>
      <w:proofErr w:type="gramEnd"/>
    </w:p>
    <w:p w:rsidR="002A1594" w:rsidRDefault="00073D1D">
      <w:pPr>
        <w:pStyle w:val="ListParagraph"/>
        <w:numPr>
          <w:ilvl w:val="0"/>
          <w:numId w:val="2"/>
        </w:numPr>
        <w:tabs>
          <w:tab w:val="left" w:pos="361"/>
        </w:tabs>
        <w:ind w:right="103" w:firstLine="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No. 110-325, § 4; 122 Stat. 3553, 3555-355</w:t>
      </w:r>
      <w:r>
        <w:rPr>
          <w:rFonts w:ascii="Palatino Linotype" w:eastAsia="Palatino Linotype" w:hAnsi="Palatino Linotype" w:cs="Palatino Linotype"/>
          <w:sz w:val="21"/>
          <w:szCs w:val="21"/>
        </w:rPr>
        <w:t xml:space="preserve">7 (2008). The statutory revisions contained in the ADA Amendments Act became effective on January 1, 2009. Pub. L. No. 110-325, § 8; 122 Stat. 3553, 3559 (2008). Every act of discrimination alleged in the EEOC’s complaint occurred subsequent to that date. </w:t>
      </w:r>
      <w:r>
        <w:rPr>
          <w:rFonts w:ascii="Palatino Linotype" w:eastAsia="Palatino Linotype" w:hAnsi="Palatino Linotype" w:cs="Palatino Linotype"/>
          <w:sz w:val="21"/>
          <w:szCs w:val="21"/>
        </w:rPr>
        <w:t xml:space="preserve"> (ECF No. 1 ¶</w:t>
      </w:r>
      <w:r>
        <w:rPr>
          <w:rFonts w:ascii="Palatino Linotype" w:eastAsia="Palatino Linotype" w:hAnsi="Palatino Linotype" w:cs="Palatino Linotype"/>
          <w:spacing w:val="-8"/>
          <w:sz w:val="21"/>
          <w:szCs w:val="21"/>
        </w:rPr>
        <w:t xml:space="preserve"> </w:t>
      </w:r>
      <w:r>
        <w:rPr>
          <w:rFonts w:ascii="Palatino Linotype" w:eastAsia="Palatino Linotype" w:hAnsi="Palatino Linotype" w:cs="Palatino Linotype"/>
          <w:sz w:val="21"/>
          <w:szCs w:val="21"/>
        </w:rPr>
        <w:t>12).</w:t>
      </w:r>
    </w:p>
    <w:p w:rsidR="002A1594" w:rsidRDefault="002A1594">
      <w:pPr>
        <w:spacing w:before="12"/>
        <w:rPr>
          <w:rFonts w:ascii="Palatino Linotype" w:eastAsia="Palatino Linotype" w:hAnsi="Palatino Linotype" w:cs="Palatino Linotype"/>
          <w:sz w:val="19"/>
          <w:szCs w:val="19"/>
        </w:rPr>
      </w:pPr>
    </w:p>
    <w:p w:rsidR="002A1594" w:rsidRDefault="00073D1D">
      <w:pPr>
        <w:pStyle w:val="BodyText"/>
        <w:ind w:left="4371" w:right="4369"/>
        <w:jc w:val="center"/>
      </w:pPr>
      <w:r>
        <w:t>8</w:t>
      </w:r>
    </w:p>
    <w:p w:rsidR="002A1594" w:rsidRDefault="002A1594">
      <w:pPr>
        <w:jc w:val="center"/>
        <w:sectPr w:rsidR="002A1594">
          <w:pgSz w:w="12240" w:h="15840"/>
          <w:pgMar w:top="540" w:right="162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ListParagraph"/>
        <w:numPr>
          <w:ilvl w:val="1"/>
          <w:numId w:val="2"/>
        </w:numPr>
        <w:tabs>
          <w:tab w:val="left" w:pos="1969"/>
        </w:tabs>
        <w:spacing w:before="28"/>
        <w:ind w:right="824"/>
        <w:jc w:val="both"/>
        <w:rPr>
          <w:rFonts w:ascii="Palatino Linotype" w:eastAsia="Palatino Linotype" w:hAnsi="Palatino Linotype" w:cs="Palatino Linotype"/>
        </w:rPr>
      </w:pPr>
      <w:r>
        <w:rPr>
          <w:rFonts w:ascii="Palatino Linotype"/>
        </w:rPr>
        <w:t>all entering employees are subjected to such an examination regardless of</w:t>
      </w:r>
      <w:r>
        <w:rPr>
          <w:rFonts w:ascii="Palatino Linotype"/>
          <w:spacing w:val="-5"/>
        </w:rPr>
        <w:t xml:space="preserve"> </w:t>
      </w:r>
      <w:r>
        <w:rPr>
          <w:rFonts w:ascii="Palatino Linotype"/>
        </w:rPr>
        <w:t>disability;</w:t>
      </w:r>
    </w:p>
    <w:p w:rsidR="002A1594" w:rsidRDefault="00073D1D">
      <w:pPr>
        <w:pStyle w:val="ListParagraph"/>
        <w:numPr>
          <w:ilvl w:val="1"/>
          <w:numId w:val="2"/>
        </w:numPr>
        <w:tabs>
          <w:tab w:val="left" w:pos="1969"/>
        </w:tabs>
        <w:ind w:right="824"/>
        <w:jc w:val="both"/>
        <w:rPr>
          <w:rFonts w:ascii="Palatino Linotype" w:eastAsia="Palatino Linotype" w:hAnsi="Palatino Linotype" w:cs="Palatino Linotype"/>
        </w:rPr>
      </w:pPr>
      <w:r>
        <w:rPr>
          <w:rFonts w:ascii="Palatino Linotype" w:eastAsia="Palatino Linotype" w:hAnsi="Palatino Linotype" w:cs="Palatino Linotype"/>
        </w:rPr>
        <w:t>information obtained regarding the medical condition or history of the applicant is collected and maintained on separate forms and in separate medical files and is treated as a confidential medical record, except</w:t>
      </w:r>
      <w:r>
        <w:rPr>
          <w:rFonts w:ascii="Palatino Linotype" w:eastAsia="Palatino Linotype" w:hAnsi="Palatino Linotype" w:cs="Palatino Linotype"/>
          <w:spacing w:val="-10"/>
        </w:rPr>
        <w:t xml:space="preserve"> </w:t>
      </w:r>
      <w:r>
        <w:rPr>
          <w:rFonts w:ascii="Palatino Linotype" w:eastAsia="Palatino Linotype" w:hAnsi="Palatino Linotype" w:cs="Palatino Linotype"/>
        </w:rPr>
        <w:t>that—</w:t>
      </w:r>
    </w:p>
    <w:p w:rsidR="002A1594" w:rsidRDefault="00073D1D">
      <w:pPr>
        <w:pStyle w:val="ListParagraph"/>
        <w:numPr>
          <w:ilvl w:val="2"/>
          <w:numId w:val="2"/>
        </w:numPr>
        <w:tabs>
          <w:tab w:val="left" w:pos="2629"/>
        </w:tabs>
        <w:ind w:right="821"/>
        <w:jc w:val="both"/>
        <w:rPr>
          <w:rFonts w:ascii="Palatino Linotype" w:eastAsia="Palatino Linotype" w:hAnsi="Palatino Linotype" w:cs="Palatino Linotype"/>
        </w:rPr>
      </w:pPr>
      <w:r>
        <w:rPr>
          <w:rFonts w:ascii="Palatino Linotype"/>
        </w:rPr>
        <w:t>supervisors and managers may be infor</w:t>
      </w:r>
      <w:r>
        <w:rPr>
          <w:rFonts w:ascii="Palatino Linotype"/>
        </w:rPr>
        <w:t>med regarding necessary restrictions on the work or duties of the employee and necessary</w:t>
      </w:r>
      <w:r>
        <w:rPr>
          <w:rFonts w:ascii="Palatino Linotype"/>
          <w:spacing w:val="-12"/>
        </w:rPr>
        <w:t xml:space="preserve"> </w:t>
      </w:r>
      <w:r>
        <w:rPr>
          <w:rFonts w:ascii="Palatino Linotype"/>
        </w:rPr>
        <w:t>accommodations;</w:t>
      </w:r>
    </w:p>
    <w:p w:rsidR="002A1594" w:rsidRDefault="00073D1D">
      <w:pPr>
        <w:pStyle w:val="ListParagraph"/>
        <w:numPr>
          <w:ilvl w:val="2"/>
          <w:numId w:val="2"/>
        </w:numPr>
        <w:tabs>
          <w:tab w:val="left" w:pos="2629"/>
        </w:tabs>
        <w:ind w:right="827" w:hanging="363"/>
        <w:jc w:val="both"/>
        <w:rPr>
          <w:rFonts w:ascii="Palatino Linotype" w:eastAsia="Palatino Linotype" w:hAnsi="Palatino Linotype" w:cs="Palatino Linotype"/>
        </w:rPr>
      </w:pPr>
      <w:r>
        <w:rPr>
          <w:rFonts w:ascii="Palatino Linotype"/>
        </w:rPr>
        <w:t>first aid and safety personnel may be informed, when appropriate, if the disability might require emergency treatment;</w:t>
      </w:r>
      <w:r>
        <w:rPr>
          <w:rFonts w:ascii="Palatino Linotype"/>
          <w:spacing w:val="23"/>
        </w:rPr>
        <w:t xml:space="preserve"> </w:t>
      </w:r>
      <w:r>
        <w:rPr>
          <w:rFonts w:ascii="Palatino Linotype"/>
        </w:rPr>
        <w:t>and</w:t>
      </w:r>
    </w:p>
    <w:p w:rsidR="002A1594" w:rsidRDefault="00073D1D">
      <w:pPr>
        <w:pStyle w:val="ListParagraph"/>
        <w:numPr>
          <w:ilvl w:val="2"/>
          <w:numId w:val="2"/>
        </w:numPr>
        <w:tabs>
          <w:tab w:val="left" w:pos="2629"/>
        </w:tabs>
        <w:spacing w:before="1"/>
        <w:ind w:right="826" w:hanging="428"/>
        <w:jc w:val="both"/>
        <w:rPr>
          <w:rFonts w:ascii="Palatino Linotype" w:eastAsia="Palatino Linotype" w:hAnsi="Palatino Linotype" w:cs="Palatino Linotype"/>
        </w:rPr>
      </w:pPr>
      <w:r>
        <w:rPr>
          <w:rFonts w:ascii="Palatino Linotype"/>
        </w:rPr>
        <w:t>government officials investigating compliance with this Act shall be provided relevant information on request; and</w:t>
      </w:r>
    </w:p>
    <w:p w:rsidR="002A1594" w:rsidRDefault="00073D1D">
      <w:pPr>
        <w:pStyle w:val="ListParagraph"/>
        <w:numPr>
          <w:ilvl w:val="1"/>
          <w:numId w:val="2"/>
        </w:numPr>
        <w:tabs>
          <w:tab w:val="left" w:pos="1969"/>
        </w:tabs>
        <w:ind w:right="829"/>
        <w:jc w:val="both"/>
        <w:rPr>
          <w:rFonts w:ascii="Palatino Linotype" w:eastAsia="Palatino Linotype" w:hAnsi="Palatino Linotype" w:cs="Palatino Linotype"/>
        </w:rPr>
      </w:pPr>
      <w:proofErr w:type="gramStart"/>
      <w:r>
        <w:rPr>
          <w:rFonts w:ascii="Palatino Linotype"/>
        </w:rPr>
        <w:t>the</w:t>
      </w:r>
      <w:proofErr w:type="gramEnd"/>
      <w:r>
        <w:rPr>
          <w:rFonts w:ascii="Palatino Linotype"/>
        </w:rPr>
        <w:t xml:space="preserve"> results of such examination are used only in accordance with this </w:t>
      </w:r>
      <w:r>
        <w:rPr>
          <w:rFonts w:ascii="Palatino Linotype"/>
          <w:spacing w:val="46"/>
        </w:rPr>
        <w:t xml:space="preserve"> </w:t>
      </w:r>
      <w:r>
        <w:rPr>
          <w:rFonts w:ascii="Palatino Linotype"/>
        </w:rPr>
        <w:t>title.</w:t>
      </w:r>
    </w:p>
    <w:p w:rsidR="002A1594" w:rsidRDefault="002A1594">
      <w:pPr>
        <w:spacing w:before="13"/>
        <w:rPr>
          <w:rFonts w:ascii="Palatino Linotype" w:eastAsia="Palatino Linotype" w:hAnsi="Palatino Linotype" w:cs="Palatino Linotype"/>
          <w:sz w:val="21"/>
          <w:szCs w:val="21"/>
        </w:rPr>
      </w:pPr>
    </w:p>
    <w:p w:rsidR="002A1594" w:rsidRDefault="00073D1D">
      <w:pPr>
        <w:pStyle w:val="ListParagraph"/>
        <w:numPr>
          <w:ilvl w:val="2"/>
          <w:numId w:val="3"/>
        </w:numPr>
        <w:tabs>
          <w:tab w:val="left" w:pos="1203"/>
        </w:tabs>
        <w:ind w:hanging="374"/>
        <w:rPr>
          <w:rFonts w:ascii="Palatino Linotype" w:eastAsia="Palatino Linotype" w:hAnsi="Palatino Linotype" w:cs="Palatino Linotype"/>
        </w:rPr>
      </w:pPr>
      <w:r>
        <w:rPr>
          <w:rFonts w:ascii="Palatino Linotype"/>
        </w:rPr>
        <w:t>Examination and</w:t>
      </w:r>
      <w:r>
        <w:rPr>
          <w:rFonts w:ascii="Palatino Linotype"/>
          <w:spacing w:val="7"/>
        </w:rPr>
        <w:t xml:space="preserve"> </w:t>
      </w:r>
      <w:r>
        <w:rPr>
          <w:rFonts w:ascii="Palatino Linotype"/>
          <w:spacing w:val="-5"/>
        </w:rPr>
        <w:t>inquiry.</w:t>
      </w:r>
    </w:p>
    <w:p w:rsidR="002A1594" w:rsidRDefault="00073D1D">
      <w:pPr>
        <w:pStyle w:val="ListParagraph"/>
        <w:numPr>
          <w:ilvl w:val="3"/>
          <w:numId w:val="3"/>
        </w:numPr>
        <w:tabs>
          <w:tab w:val="left" w:pos="1969"/>
        </w:tabs>
        <w:ind w:right="822"/>
        <w:jc w:val="both"/>
        <w:rPr>
          <w:rFonts w:ascii="Palatino Linotype" w:eastAsia="Palatino Linotype" w:hAnsi="Palatino Linotype" w:cs="Palatino Linotype"/>
        </w:rPr>
      </w:pPr>
      <w:r>
        <w:rPr>
          <w:rFonts w:ascii="Palatino Linotype"/>
        </w:rPr>
        <w:t>Prohibited examinations and inquiries</w:t>
      </w:r>
      <w:r>
        <w:rPr>
          <w:rFonts w:ascii="Palatino Linotype"/>
        </w:rPr>
        <w:t xml:space="preserve">. A covered entity shall not require a medical examination and shall not make inquiries of an employee as to whether such employee is an individual with a disability or as to the nature or severity of the </w:t>
      </w:r>
      <w:r>
        <w:rPr>
          <w:rFonts w:ascii="Palatino Linotype"/>
          <w:spacing w:val="-3"/>
        </w:rPr>
        <w:t xml:space="preserve">disability, </w:t>
      </w:r>
      <w:r>
        <w:rPr>
          <w:rFonts w:ascii="Palatino Linotype"/>
        </w:rPr>
        <w:t>unless such examination or inquiry is s</w:t>
      </w:r>
      <w:r>
        <w:rPr>
          <w:rFonts w:ascii="Palatino Linotype"/>
        </w:rPr>
        <w:t>hown to be job-related and consistent with business</w:t>
      </w:r>
      <w:r>
        <w:rPr>
          <w:rFonts w:ascii="Palatino Linotype"/>
          <w:spacing w:val="-6"/>
        </w:rPr>
        <w:t xml:space="preserve"> </w:t>
      </w:r>
      <w:r>
        <w:rPr>
          <w:rFonts w:ascii="Palatino Linotype"/>
          <w:spacing w:val="-3"/>
        </w:rPr>
        <w:t>necessity.</w:t>
      </w:r>
    </w:p>
    <w:p w:rsidR="002A1594" w:rsidRDefault="00073D1D">
      <w:pPr>
        <w:pStyle w:val="ListParagraph"/>
        <w:numPr>
          <w:ilvl w:val="3"/>
          <w:numId w:val="3"/>
        </w:numPr>
        <w:tabs>
          <w:tab w:val="left" w:pos="1969"/>
        </w:tabs>
        <w:ind w:right="822"/>
        <w:jc w:val="both"/>
        <w:rPr>
          <w:rFonts w:ascii="Palatino Linotype" w:eastAsia="Palatino Linotype" w:hAnsi="Palatino Linotype" w:cs="Palatino Linotype"/>
        </w:rPr>
      </w:pPr>
      <w:r>
        <w:rPr>
          <w:rFonts w:ascii="Palatino Linotype"/>
        </w:rPr>
        <w:t>Acceptable examinations and inquiries. A covered entity may conduct voluntary medical examinations, including voluntary medical histories, which are part of an employee health program available to employees at that work site. A covered entity may make inqu</w:t>
      </w:r>
      <w:r>
        <w:rPr>
          <w:rFonts w:ascii="Palatino Linotype"/>
        </w:rPr>
        <w:t>iries into the ability of an employee to perform job-related</w:t>
      </w:r>
      <w:r>
        <w:rPr>
          <w:rFonts w:ascii="Palatino Linotype"/>
          <w:spacing w:val="-8"/>
        </w:rPr>
        <w:t xml:space="preserve"> </w:t>
      </w:r>
      <w:r>
        <w:rPr>
          <w:rFonts w:ascii="Palatino Linotype"/>
        </w:rPr>
        <w:t>functions.</w:t>
      </w:r>
    </w:p>
    <w:p w:rsidR="002A1594" w:rsidRDefault="00073D1D">
      <w:pPr>
        <w:pStyle w:val="ListParagraph"/>
        <w:numPr>
          <w:ilvl w:val="3"/>
          <w:numId w:val="3"/>
        </w:numPr>
        <w:tabs>
          <w:tab w:val="left" w:pos="1969"/>
        </w:tabs>
        <w:ind w:right="825"/>
        <w:jc w:val="both"/>
        <w:rPr>
          <w:rFonts w:ascii="Palatino Linotype" w:eastAsia="Palatino Linotype" w:hAnsi="Palatino Linotype" w:cs="Palatino Linotype"/>
        </w:rPr>
      </w:pPr>
      <w:r>
        <w:rPr>
          <w:rFonts w:ascii="Palatino Linotype"/>
        </w:rPr>
        <w:t>Requirement. Information obtained under subparagraph (B) regarding the medical condition or history of any employee are subject to the requirements of subparagraphs (B) and (C) of para</w:t>
      </w:r>
      <w:r>
        <w:rPr>
          <w:rFonts w:ascii="Palatino Linotype"/>
        </w:rPr>
        <w:t>graph</w:t>
      </w:r>
      <w:r>
        <w:rPr>
          <w:rFonts w:ascii="Palatino Linotype"/>
          <w:spacing w:val="-4"/>
        </w:rPr>
        <w:t xml:space="preserve"> </w:t>
      </w:r>
      <w:r>
        <w:rPr>
          <w:rFonts w:ascii="Palatino Linotype"/>
        </w:rPr>
        <w:t>(3).</w:t>
      </w:r>
    </w:p>
    <w:p w:rsidR="002A1594" w:rsidRDefault="002A1594">
      <w:pPr>
        <w:rPr>
          <w:rFonts w:ascii="Palatino Linotype" w:eastAsia="Palatino Linotype" w:hAnsi="Palatino Linotype" w:cs="Palatino Linotype"/>
        </w:rPr>
      </w:pPr>
    </w:p>
    <w:p w:rsidR="002A1594" w:rsidRDefault="002A1594">
      <w:pPr>
        <w:spacing w:before="1"/>
        <w:rPr>
          <w:rFonts w:ascii="Palatino Linotype" w:eastAsia="Palatino Linotype" w:hAnsi="Palatino Linotype" w:cs="Palatino Linotype"/>
        </w:rPr>
      </w:pPr>
    </w:p>
    <w:p w:rsidR="002A1594" w:rsidRDefault="00073D1D">
      <w:pPr>
        <w:pStyle w:val="BodyText"/>
        <w:spacing w:before="0" w:line="480" w:lineRule="auto"/>
        <w:ind w:right="102"/>
        <w:jc w:val="both"/>
      </w:pPr>
      <w:proofErr w:type="gramStart"/>
      <w:r>
        <w:t>42 U.S.C. § 12112(d).</w:t>
      </w:r>
      <w:proofErr w:type="gramEnd"/>
      <w:r>
        <w:t xml:space="preserve"> This statutory framework is designed to shield information about an </w:t>
      </w:r>
      <w:r>
        <w:rPr>
          <w:rFonts w:cs="Palatino Linotype"/>
          <w:spacing w:val="-3"/>
        </w:rPr>
        <w:t xml:space="preserve">applicant’s </w:t>
      </w:r>
      <w:r>
        <w:rPr>
          <w:rFonts w:cs="Palatino Linotype"/>
        </w:rPr>
        <w:t xml:space="preserve">medical condition from his or her prospective employer until </w:t>
      </w:r>
      <w:r>
        <w:rPr>
          <w:rFonts w:cs="Palatino Linotype"/>
          <w:i/>
        </w:rPr>
        <w:t xml:space="preserve">after </w:t>
      </w:r>
      <w:r>
        <w:t>an offer of employment is</w:t>
      </w:r>
      <w:r>
        <w:rPr>
          <w:spacing w:val="-1"/>
        </w:rPr>
        <w:t xml:space="preserve"> </w:t>
      </w:r>
      <w:r>
        <w:t>made.</w:t>
      </w:r>
    </w:p>
    <w:p w:rsidR="002A1594" w:rsidRDefault="002A1594">
      <w:pPr>
        <w:spacing w:before="1"/>
        <w:rPr>
          <w:rFonts w:ascii="Palatino Linotype" w:eastAsia="Palatino Linotype" w:hAnsi="Palatino Linotype" w:cs="Palatino Linotype"/>
        </w:rPr>
      </w:pPr>
    </w:p>
    <w:p w:rsidR="002A1594" w:rsidRDefault="00073D1D">
      <w:pPr>
        <w:pStyle w:val="BodyText"/>
        <w:ind w:left="4371" w:right="4369"/>
        <w:jc w:val="center"/>
      </w:pPr>
      <w:r>
        <w:t>9</w:t>
      </w:r>
    </w:p>
    <w:p w:rsidR="002A1594" w:rsidRDefault="002A1594">
      <w:pPr>
        <w:jc w:val="center"/>
        <w:sectPr w:rsidR="002A1594">
          <w:pgSz w:w="12240" w:h="15840"/>
          <w:pgMar w:top="540" w:right="162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120" w:firstLine="719"/>
        <w:jc w:val="both"/>
      </w:pPr>
      <w:r>
        <w:t xml:space="preserve">Before an offer of employment is extended, an employer may not ask a job </w:t>
      </w:r>
      <w:r>
        <w:rPr>
          <w:rFonts w:cs="Palatino Linotype"/>
        </w:rPr>
        <w:t xml:space="preserve">applicant to undergo a medical examination or inquire as to whether he or she “is an individual with a </w:t>
      </w:r>
      <w:r>
        <w:rPr>
          <w:rFonts w:cs="Palatino Linotype"/>
          <w:spacing w:val="-3"/>
        </w:rPr>
        <w:t xml:space="preserve">disability.” </w:t>
      </w:r>
      <w:r>
        <w:rPr>
          <w:rFonts w:cs="Palatino Linotype"/>
        </w:rPr>
        <w:t>42 U.S.C. § 12112(d</w:t>
      </w:r>
      <w:proofErr w:type="gramStart"/>
      <w:r>
        <w:rPr>
          <w:rFonts w:cs="Palatino Linotype"/>
        </w:rPr>
        <w:t>)(</w:t>
      </w:r>
      <w:proofErr w:type="gramEnd"/>
      <w:r>
        <w:rPr>
          <w:rFonts w:cs="Palatino Linotype"/>
        </w:rPr>
        <w:t xml:space="preserve">2)(A). </w:t>
      </w:r>
      <w:r>
        <w:t>This prohibition precludes the utilizat</w:t>
      </w:r>
      <w:r>
        <w:t xml:space="preserve">ion of investigative techniques that could identify applicants with disabilities and exclude them from further consideration. </w:t>
      </w:r>
      <w:r>
        <w:rPr>
          <w:rFonts w:cs="Palatino Linotype"/>
          <w:i/>
        </w:rPr>
        <w:t xml:space="preserve">Griffin </w:t>
      </w:r>
      <w:r>
        <w:rPr>
          <w:rFonts w:cs="Palatino Linotype"/>
          <w:i/>
          <w:spacing w:val="-6"/>
        </w:rPr>
        <w:t xml:space="preserve">v. </w:t>
      </w:r>
      <w:r>
        <w:rPr>
          <w:rFonts w:cs="Palatino Linotype"/>
          <w:i/>
        </w:rPr>
        <w:t>Steeltek, Inc.</w:t>
      </w:r>
      <w:r>
        <w:t xml:space="preserve">, 160 </w:t>
      </w:r>
      <w:proofErr w:type="gramStart"/>
      <w:r>
        <w:rPr>
          <w:spacing w:val="-6"/>
        </w:rPr>
        <w:t xml:space="preserve">F.3d  </w:t>
      </w:r>
      <w:r>
        <w:t>591</w:t>
      </w:r>
      <w:proofErr w:type="gramEnd"/>
      <w:r>
        <w:t xml:space="preserve">, 594 (10th  </w:t>
      </w:r>
      <w:r>
        <w:rPr>
          <w:spacing w:val="-4"/>
        </w:rPr>
        <w:t xml:space="preserve">Cir. </w:t>
      </w:r>
      <w:r>
        <w:t>1998). Once an offer of employment has been extended, a prospective empl</w:t>
      </w:r>
      <w:r>
        <w:t>oyee may be asked to undergo a medical examination. 42 U.S.C. § 12112(d</w:t>
      </w:r>
      <w:proofErr w:type="gramStart"/>
      <w:r>
        <w:t>)(</w:t>
      </w:r>
      <w:proofErr w:type="gramEnd"/>
      <w:r>
        <w:t xml:space="preserve">3). An </w:t>
      </w:r>
      <w:r>
        <w:rPr>
          <w:rFonts w:cs="Palatino Linotype"/>
        </w:rPr>
        <w:t xml:space="preserve">“entrance examination” </w:t>
      </w:r>
      <w:r>
        <w:t xml:space="preserve">is permissible under the ADA </w:t>
      </w:r>
      <w:r>
        <w:rPr>
          <w:rFonts w:cs="Palatino Linotype"/>
        </w:rPr>
        <w:t xml:space="preserve">if “all entering employees are subjected to </w:t>
      </w:r>
      <w:r>
        <w:t xml:space="preserve">such an examination regardless of </w:t>
      </w:r>
      <w:r>
        <w:rPr>
          <w:spacing w:val="-3"/>
        </w:rPr>
        <w:t>disabili</w:t>
      </w:r>
      <w:r>
        <w:rPr>
          <w:rFonts w:cs="Palatino Linotype"/>
          <w:spacing w:val="-3"/>
        </w:rPr>
        <w:t xml:space="preserve">ty,” </w:t>
      </w:r>
      <w:r>
        <w:rPr>
          <w:rFonts w:cs="Palatino Linotype"/>
        </w:rPr>
        <w:t>the applicable confidentiality re</w:t>
      </w:r>
      <w:r>
        <w:rPr>
          <w:rFonts w:cs="Palatino Linotype"/>
        </w:rPr>
        <w:t>quirements are adhered to, and the results of the examination are “used only in accordance with</w:t>
      </w:r>
      <w:proofErr w:type="gramStart"/>
      <w:r>
        <w:rPr>
          <w:rFonts w:cs="Palatino Linotype"/>
        </w:rPr>
        <w:t xml:space="preserve">”  </w:t>
      </w:r>
      <w:r>
        <w:t>Title</w:t>
      </w:r>
      <w:proofErr w:type="gramEnd"/>
      <w:r>
        <w:t xml:space="preserve"> I. 42 U.S.C. § 12112(d)(3)(A)-(C</w:t>
      </w:r>
      <w:r>
        <w:rPr>
          <w:rFonts w:cs="Palatino Linotype"/>
        </w:rPr>
        <w:t xml:space="preserve">). After an </w:t>
      </w:r>
      <w:r>
        <w:rPr>
          <w:rFonts w:cs="Palatino Linotype"/>
          <w:spacing w:val="-4"/>
        </w:rPr>
        <w:t xml:space="preserve">employee’s </w:t>
      </w:r>
      <w:r>
        <w:rPr>
          <w:rFonts w:cs="Palatino Linotype"/>
        </w:rPr>
        <w:t xml:space="preserve">duties have commenced, the </w:t>
      </w:r>
      <w:r>
        <w:t xml:space="preserve">employer may not ask him or her to undergo another medical examination or inquire </w:t>
      </w:r>
      <w:proofErr w:type="gramStart"/>
      <w:r>
        <w:t xml:space="preserve">as  </w:t>
      </w:r>
      <w:r>
        <w:rPr>
          <w:rFonts w:cs="Palatino Linotype"/>
        </w:rPr>
        <w:t>to</w:t>
      </w:r>
      <w:proofErr w:type="gramEnd"/>
      <w:r>
        <w:rPr>
          <w:rFonts w:cs="Palatino Linotype"/>
        </w:rPr>
        <w:t xml:space="preserve"> whether he or she is disabled “unless such examination or inquiry is shown to be job</w:t>
      </w:r>
      <w:r>
        <w:t xml:space="preserve">- </w:t>
      </w:r>
      <w:r>
        <w:rPr>
          <w:rFonts w:cs="Palatino Linotype"/>
        </w:rPr>
        <w:t xml:space="preserve">related and consistent with business </w:t>
      </w:r>
      <w:r>
        <w:rPr>
          <w:rFonts w:cs="Palatino Linotype"/>
          <w:spacing w:val="-3"/>
        </w:rPr>
        <w:t xml:space="preserve">necessity.” </w:t>
      </w:r>
      <w:r>
        <w:rPr>
          <w:rFonts w:cs="Palatino Linotype"/>
        </w:rPr>
        <w:t xml:space="preserve">42 U.S.C. § </w:t>
      </w:r>
      <w:r>
        <w:t>12112(d</w:t>
      </w:r>
      <w:proofErr w:type="gramStart"/>
      <w:r>
        <w:t>)(</w:t>
      </w:r>
      <w:proofErr w:type="gramEnd"/>
      <w:r>
        <w:t>4)(A). An e</w:t>
      </w:r>
      <w:r>
        <w:t xml:space="preserve">mployer remains free to inquire </w:t>
      </w:r>
      <w:r>
        <w:rPr>
          <w:rFonts w:cs="Palatino Linotype"/>
        </w:rPr>
        <w:t>as to the ability of an applicant or employee “to perform job</w:t>
      </w:r>
      <w:r>
        <w:t xml:space="preserve">- </w:t>
      </w:r>
      <w:r>
        <w:rPr>
          <w:rFonts w:cs="Palatino Linotype"/>
        </w:rPr>
        <w:t xml:space="preserve">related functions” </w:t>
      </w:r>
      <w:r>
        <w:t>at all times.  42 U.S.C. § 12112(d</w:t>
      </w:r>
      <w:proofErr w:type="gramStart"/>
      <w:r>
        <w:t>)(</w:t>
      </w:r>
      <w:proofErr w:type="gramEnd"/>
      <w:r>
        <w:t>2)(B),</w:t>
      </w:r>
      <w:r>
        <w:rPr>
          <w:spacing w:val="-20"/>
        </w:rPr>
        <w:t xml:space="preserve"> </w:t>
      </w:r>
      <w:r>
        <w:t>(4)(B).</w:t>
      </w:r>
    </w:p>
    <w:p w:rsidR="002A1594" w:rsidRDefault="00073D1D">
      <w:pPr>
        <w:pStyle w:val="BodyText"/>
        <w:spacing w:before="0" w:line="480" w:lineRule="auto"/>
        <w:ind w:right="111" w:firstLine="719"/>
        <w:jc w:val="both"/>
      </w:pPr>
      <w:r>
        <w:t xml:space="preserve">Given that </w:t>
      </w:r>
      <w:r>
        <w:rPr>
          <w:rFonts w:cs="Palatino Linotype"/>
        </w:rPr>
        <w:t>§ 12112(d</w:t>
      </w:r>
      <w:proofErr w:type="gramStart"/>
      <w:r>
        <w:rPr>
          <w:rFonts w:cs="Palatino Linotype"/>
        </w:rPr>
        <w:t>)(</w:t>
      </w:r>
      <w:proofErr w:type="gramEnd"/>
      <w:r>
        <w:rPr>
          <w:rFonts w:cs="Palatino Linotype"/>
        </w:rPr>
        <w:t>3)(C) permits the results of an “entrance examination” to be “used on</w:t>
      </w:r>
      <w:r>
        <w:rPr>
          <w:rFonts w:cs="Palatino Linotype"/>
        </w:rPr>
        <w:t xml:space="preserve">ly in accordance with” Title </w:t>
      </w:r>
      <w:r>
        <w:rPr>
          <w:rFonts w:cs="Palatino Linotype"/>
          <w:spacing w:val="-8"/>
        </w:rPr>
        <w:t xml:space="preserve">I’s </w:t>
      </w:r>
      <w:r>
        <w:rPr>
          <w:rFonts w:cs="Palatino Linotype"/>
        </w:rPr>
        <w:t>anti</w:t>
      </w:r>
      <w:r>
        <w:t xml:space="preserve">-discrimination provision, an employer may not rely on the results of a </w:t>
      </w:r>
      <w:r>
        <w:rPr>
          <w:rFonts w:cs="Palatino Linotype"/>
          <w:i/>
        </w:rPr>
        <w:t xml:space="preserve">lawful </w:t>
      </w:r>
      <w:r>
        <w:t xml:space="preserve">medical examination or inquiry to deny employment to an individual unless the examination or inquiry reveals that an impairment suffered by </w:t>
      </w:r>
      <w:r>
        <w:t xml:space="preserve">the individual would preclude </w:t>
      </w:r>
      <w:r>
        <w:rPr>
          <w:rFonts w:cs="Palatino Linotype"/>
        </w:rPr>
        <w:t xml:space="preserve">him or her from performing the “essential functions” of  </w:t>
      </w:r>
      <w:r>
        <w:t xml:space="preserve">the job in question.   </w:t>
      </w:r>
      <w:proofErr w:type="gramStart"/>
      <w:r>
        <w:rPr>
          <w:rFonts w:cs="Palatino Linotype"/>
          <w:i/>
        </w:rPr>
        <w:t xml:space="preserve">Holiday </w:t>
      </w:r>
      <w:r>
        <w:rPr>
          <w:rFonts w:cs="Palatino Linotype"/>
          <w:i/>
          <w:spacing w:val="-8"/>
        </w:rPr>
        <w:t>v.</w:t>
      </w:r>
      <w:proofErr w:type="gramEnd"/>
      <w:r>
        <w:rPr>
          <w:rFonts w:cs="Palatino Linotype"/>
          <w:i/>
          <w:spacing w:val="-8"/>
        </w:rPr>
        <w:t xml:space="preserve">  </w:t>
      </w:r>
      <w:proofErr w:type="gramStart"/>
      <w:r>
        <w:rPr>
          <w:rFonts w:cs="Palatino Linotype"/>
          <w:i/>
        </w:rPr>
        <w:t>City of Chattanooga</w:t>
      </w:r>
      <w:r>
        <w:t xml:space="preserve">, 206 </w:t>
      </w:r>
      <w:r>
        <w:rPr>
          <w:spacing w:val="-4"/>
        </w:rPr>
        <w:t xml:space="preserve">F.3d </w:t>
      </w:r>
      <w:r>
        <w:t xml:space="preserve">637, 640-48 (6th </w:t>
      </w:r>
      <w:r>
        <w:rPr>
          <w:spacing w:val="-4"/>
        </w:rPr>
        <w:t xml:space="preserve">Cir. </w:t>
      </w:r>
      <w:r>
        <w:t>2000).</w:t>
      </w:r>
      <w:proofErr w:type="gramEnd"/>
      <w:r>
        <w:t xml:space="preserve">    </w:t>
      </w:r>
      <w:r>
        <w:rPr>
          <w:spacing w:val="49"/>
        </w:rPr>
        <w:t xml:space="preserve"> </w:t>
      </w:r>
      <w:r>
        <w:t>A</w:t>
      </w:r>
    </w:p>
    <w:p w:rsidR="002A1594" w:rsidRDefault="00073D1D">
      <w:pPr>
        <w:pStyle w:val="BodyText"/>
        <w:ind w:left="4371" w:right="4388"/>
        <w:jc w:val="center"/>
      </w:pPr>
      <w:r>
        <w:t>10</w:t>
      </w:r>
    </w:p>
    <w:p w:rsidR="002A1594" w:rsidRDefault="002A1594">
      <w:pPr>
        <w:jc w:val="center"/>
        <w:sectPr w:rsidR="002A1594">
          <w:headerReference w:type="default" r:id="rId9"/>
          <w:pgSz w:w="12240" w:h="15840"/>
          <w:pgMar w:top="540" w:right="160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101"/>
        <w:jc w:val="both"/>
        <w:rPr>
          <w:rFonts w:cs="Palatino Linotype"/>
        </w:rPr>
      </w:pPr>
      <w:proofErr w:type="gramStart"/>
      <w:r>
        <w:t>plaintiff</w:t>
      </w:r>
      <w:proofErr w:type="gramEnd"/>
      <w:r>
        <w:t xml:space="preserve"> asserting a claim under § 12112(d)(3)(C) must ordinarily show that he or she is </w:t>
      </w:r>
      <w:r>
        <w:rPr>
          <w:rFonts w:cs="Palatino Linotype"/>
        </w:rPr>
        <w:t xml:space="preserve">“disabled,” since § 12112(a) only prohibits “discriminat[ion] against a qualified individual on the basis of </w:t>
      </w:r>
      <w:r>
        <w:rPr>
          <w:rFonts w:cs="Palatino Linotype"/>
          <w:spacing w:val="-3"/>
        </w:rPr>
        <w:t xml:space="preserve">disability.” </w:t>
      </w:r>
      <w:proofErr w:type="gramStart"/>
      <w:r>
        <w:rPr>
          <w:rFonts w:cs="Palatino Linotype"/>
          <w:i/>
        </w:rPr>
        <w:t xml:space="preserve">O’Neal </w:t>
      </w:r>
      <w:r>
        <w:rPr>
          <w:rFonts w:cs="Palatino Linotype"/>
          <w:i/>
          <w:spacing w:val="-6"/>
        </w:rPr>
        <w:t xml:space="preserve">v. </w:t>
      </w:r>
      <w:r>
        <w:rPr>
          <w:rFonts w:cs="Palatino Linotype"/>
          <w:i/>
        </w:rPr>
        <w:t>Ci</w:t>
      </w:r>
      <w:r>
        <w:rPr>
          <w:rFonts w:cs="Palatino Linotype"/>
          <w:i/>
        </w:rPr>
        <w:t>ty of New Albany</w:t>
      </w:r>
      <w:r>
        <w:t xml:space="preserve">, 293 </w:t>
      </w:r>
      <w:r>
        <w:rPr>
          <w:spacing w:val="-4"/>
        </w:rPr>
        <w:t xml:space="preserve">F.3d </w:t>
      </w:r>
      <w:r>
        <w:t xml:space="preserve">998, 1009-10 (7th </w:t>
      </w:r>
      <w:r>
        <w:rPr>
          <w:spacing w:val="-4"/>
        </w:rPr>
        <w:t>Cir.</w:t>
      </w:r>
      <w:r>
        <w:rPr>
          <w:spacing w:val="47"/>
        </w:rPr>
        <w:t xml:space="preserve"> </w:t>
      </w:r>
      <w:r>
        <w:t>2002).</w:t>
      </w:r>
      <w:proofErr w:type="gramEnd"/>
      <w:r>
        <w:t xml:space="preserve"> Unlike § 12112(a), which aims to protect a discrete class of </w:t>
      </w:r>
      <w:r>
        <w:rPr>
          <w:rFonts w:cs="Palatino Linotype"/>
        </w:rPr>
        <w:t xml:space="preserve">“disabled” </w:t>
      </w:r>
      <w:r>
        <w:t>persons from discrimination, § 12112(d) contains no language limiting the category of applicants and employees entitled to stat</w:t>
      </w:r>
      <w:r>
        <w:t xml:space="preserve">utory protection. </w:t>
      </w:r>
      <w:proofErr w:type="gramStart"/>
      <w:r>
        <w:rPr>
          <w:rFonts w:cs="Palatino Linotype"/>
          <w:i/>
        </w:rPr>
        <w:t xml:space="preserve">Cossette </w:t>
      </w:r>
      <w:r>
        <w:rPr>
          <w:rFonts w:cs="Palatino Linotype"/>
          <w:i/>
          <w:spacing w:val="-6"/>
        </w:rPr>
        <w:t xml:space="preserve">v. </w:t>
      </w:r>
      <w:r>
        <w:rPr>
          <w:rFonts w:cs="Palatino Linotype"/>
          <w:i/>
        </w:rPr>
        <w:t>Minnesota Power &amp; Light</w:t>
      </w:r>
      <w:r>
        <w:t xml:space="preserve">, 188 </w:t>
      </w:r>
      <w:r>
        <w:rPr>
          <w:spacing w:val="-4"/>
        </w:rPr>
        <w:t xml:space="preserve">F.3d </w:t>
      </w:r>
      <w:r>
        <w:t xml:space="preserve">964, 969 (8th </w:t>
      </w:r>
      <w:r>
        <w:rPr>
          <w:spacing w:val="-4"/>
        </w:rPr>
        <w:t xml:space="preserve">Cir. </w:t>
      </w:r>
      <w:r>
        <w:t>1999).</w:t>
      </w:r>
      <w:proofErr w:type="gramEnd"/>
      <w:r>
        <w:t xml:space="preserve"> </w:t>
      </w:r>
      <w:r>
        <w:rPr>
          <w:spacing w:val="-3"/>
        </w:rPr>
        <w:t xml:space="preserve">Consequently, </w:t>
      </w:r>
      <w:r>
        <w:t xml:space="preserve">an individual who is subjected to an </w:t>
      </w:r>
      <w:r>
        <w:rPr>
          <w:rFonts w:cs="Palatino Linotype"/>
          <w:i/>
        </w:rPr>
        <w:t xml:space="preserve">unlawful </w:t>
      </w:r>
      <w:r>
        <w:t xml:space="preserve">medical examination or inquiry can successfully assert a claim under § 12112(d) without </w:t>
      </w:r>
      <w:r>
        <w:rPr>
          <w:rFonts w:cs="Palatino Linotype"/>
        </w:rPr>
        <w:t>establishing the e</w:t>
      </w:r>
      <w:r>
        <w:rPr>
          <w:rFonts w:cs="Palatino Linotype"/>
        </w:rPr>
        <w:t xml:space="preserve">xistence of a statutory </w:t>
      </w:r>
      <w:r>
        <w:rPr>
          <w:rFonts w:cs="Palatino Linotype"/>
          <w:spacing w:val="-3"/>
        </w:rPr>
        <w:t xml:space="preserve">“disability.”  </w:t>
      </w:r>
      <w:r>
        <w:rPr>
          <w:rFonts w:cs="Palatino Linotype"/>
          <w:i/>
        </w:rPr>
        <w:t xml:space="preserve">Pennsylvania State </w:t>
      </w:r>
      <w:r>
        <w:rPr>
          <w:rFonts w:cs="Palatino Linotype"/>
          <w:i/>
          <w:spacing w:val="-4"/>
        </w:rPr>
        <w:t>Troopers</w:t>
      </w:r>
      <w:r>
        <w:rPr>
          <w:rFonts w:cs="Palatino Linotype"/>
          <w:i/>
          <w:spacing w:val="30"/>
        </w:rPr>
        <w:t xml:space="preserve"> </w:t>
      </w:r>
      <w:r>
        <w:rPr>
          <w:rFonts w:cs="Palatino Linotype"/>
          <w:i/>
        </w:rPr>
        <w:t>Association</w:t>
      </w:r>
    </w:p>
    <w:p w:rsidR="002A1594" w:rsidRDefault="00073D1D">
      <w:pPr>
        <w:pStyle w:val="ListParagraph"/>
        <w:numPr>
          <w:ilvl w:val="0"/>
          <w:numId w:val="1"/>
        </w:numPr>
        <w:tabs>
          <w:tab w:val="left" w:pos="318"/>
        </w:tabs>
        <w:spacing w:line="480" w:lineRule="auto"/>
        <w:ind w:right="103" w:firstLine="0"/>
        <w:jc w:val="both"/>
        <w:rPr>
          <w:rFonts w:ascii="Palatino Linotype" w:eastAsia="Palatino Linotype" w:hAnsi="Palatino Linotype" w:cs="Palatino Linotype"/>
        </w:rPr>
      </w:pPr>
      <w:r>
        <w:rPr>
          <w:rFonts w:ascii="Palatino Linotype" w:eastAsia="Palatino Linotype" w:hAnsi="Palatino Linotype" w:cs="Palatino Linotype"/>
          <w:i/>
        </w:rPr>
        <w:t>Miller</w:t>
      </w:r>
      <w:r>
        <w:rPr>
          <w:rFonts w:ascii="Palatino Linotype" w:eastAsia="Palatino Linotype" w:hAnsi="Palatino Linotype" w:cs="Palatino Linotype"/>
        </w:rPr>
        <w:t xml:space="preserve">, 621 </w:t>
      </w:r>
      <w:r>
        <w:rPr>
          <w:rFonts w:ascii="Palatino Linotype" w:eastAsia="Palatino Linotype" w:hAnsi="Palatino Linotype" w:cs="Palatino Linotype"/>
          <w:spacing w:val="-8"/>
        </w:rPr>
        <w:t xml:space="preserve">F. </w:t>
      </w:r>
      <w:r>
        <w:rPr>
          <w:rFonts w:ascii="Palatino Linotype" w:eastAsia="Palatino Linotype" w:hAnsi="Palatino Linotype" w:cs="Palatino Linotype"/>
        </w:rPr>
        <w:t xml:space="preserve">Supp. 2d 246, 252 (M.D. </w:t>
      </w:r>
      <w:r>
        <w:rPr>
          <w:rFonts w:ascii="Palatino Linotype" w:eastAsia="Palatino Linotype" w:hAnsi="Palatino Linotype" w:cs="Palatino Linotype"/>
          <w:spacing w:val="-3"/>
        </w:rPr>
        <w:t xml:space="preserve">Pa. </w:t>
      </w:r>
      <w:r>
        <w:rPr>
          <w:rFonts w:ascii="Palatino Linotype" w:eastAsia="Palatino Linotype" w:hAnsi="Palatino Linotype" w:cs="Palatino Linotype"/>
        </w:rPr>
        <w:t xml:space="preserve">2008). In this vein, an applicant who is rejected </w:t>
      </w:r>
      <w:r>
        <w:rPr>
          <w:rFonts w:ascii="Palatino Linotype" w:eastAsia="Palatino Linotype" w:hAnsi="Palatino Linotype" w:cs="Palatino Linotype"/>
        </w:rPr>
        <w:t>by an employer based on information gleaned from an illegal pre-offer medical examination or inquiry may seek redress under § 12112(d</w:t>
      </w:r>
      <w:proofErr w:type="gramStart"/>
      <w:r>
        <w:rPr>
          <w:rFonts w:ascii="Palatino Linotype" w:eastAsia="Palatino Linotype" w:hAnsi="Palatino Linotype" w:cs="Palatino Linotype"/>
        </w:rPr>
        <w:t>)(</w:t>
      </w:r>
      <w:proofErr w:type="gramEnd"/>
      <w:r>
        <w:rPr>
          <w:rFonts w:ascii="Palatino Linotype" w:eastAsia="Palatino Linotype" w:hAnsi="Palatino Linotype" w:cs="Palatino Linotype"/>
        </w:rPr>
        <w:t xml:space="preserve">2)(A) even if that information does not reveal a “disabling” medical condition.  </w:t>
      </w:r>
      <w:r>
        <w:rPr>
          <w:rFonts w:ascii="Palatino Linotype" w:eastAsia="Palatino Linotype" w:hAnsi="Palatino Linotype" w:cs="Palatino Linotype"/>
          <w:i/>
        </w:rPr>
        <w:t>Griffin</w:t>
      </w: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rPr>
        <w:t xml:space="preserve">160 </w:t>
      </w:r>
      <w:r>
        <w:rPr>
          <w:rFonts w:ascii="Palatino Linotype" w:eastAsia="Palatino Linotype" w:hAnsi="Palatino Linotype" w:cs="Palatino Linotype"/>
          <w:spacing w:val="-5"/>
        </w:rPr>
        <w:t xml:space="preserve">F.3d </w:t>
      </w:r>
      <w:r>
        <w:rPr>
          <w:rFonts w:ascii="Palatino Linotype" w:eastAsia="Palatino Linotype" w:hAnsi="Palatino Linotype" w:cs="Palatino Linotype"/>
        </w:rPr>
        <w:t>at</w:t>
      </w:r>
      <w:r>
        <w:rPr>
          <w:rFonts w:ascii="Palatino Linotype" w:eastAsia="Palatino Linotype" w:hAnsi="Palatino Linotype" w:cs="Palatino Linotype"/>
          <w:spacing w:val="-13"/>
        </w:rPr>
        <w:t xml:space="preserve"> </w:t>
      </w:r>
      <w:r>
        <w:rPr>
          <w:rFonts w:ascii="Palatino Linotype" w:eastAsia="Palatino Linotype" w:hAnsi="Palatino Linotype" w:cs="Palatino Linotype"/>
        </w:rPr>
        <w:t>593-94</w:t>
      </w:r>
      <w:proofErr w:type="gramEnd"/>
      <w:r>
        <w:rPr>
          <w:rFonts w:ascii="Palatino Linotype" w:eastAsia="Palatino Linotype" w:hAnsi="Palatino Linotype" w:cs="Palatino Linotype"/>
        </w:rPr>
        <w:t>.</w:t>
      </w:r>
    </w:p>
    <w:p w:rsidR="002A1594" w:rsidRDefault="00073D1D">
      <w:pPr>
        <w:pStyle w:val="BodyText"/>
        <w:spacing w:before="0" w:line="480" w:lineRule="auto"/>
        <w:ind w:right="100" w:firstLine="719"/>
        <w:jc w:val="both"/>
        <w:rPr>
          <w:rFonts w:cs="Palatino Linotype"/>
        </w:rPr>
      </w:pPr>
      <w:r>
        <w:t xml:space="preserve">It is undisputed that the LCNRC employees seeking positions with the CCC were subjected to pre-offer medical examinations and inquiries prohibited under the ADA. </w:t>
      </w:r>
      <w:proofErr w:type="gramStart"/>
      <w:r>
        <w:t>(ECF No. 131 ¶¶ 1-2).</w:t>
      </w:r>
      <w:proofErr w:type="gramEnd"/>
      <w:r>
        <w:t xml:space="preserve"> </w:t>
      </w:r>
      <w:r>
        <w:rPr>
          <w:spacing w:val="-2"/>
        </w:rPr>
        <w:t xml:space="preserve">The </w:t>
      </w:r>
      <w:r>
        <w:t xml:space="preserve">EEOC asserts § 12112(d) claims against the Defendants </w:t>
      </w:r>
      <w:proofErr w:type="gramStart"/>
      <w:r>
        <w:t>based  on</w:t>
      </w:r>
      <w:proofErr w:type="gramEnd"/>
      <w:r>
        <w:t xml:space="preserve"> thos</w:t>
      </w:r>
      <w:r>
        <w:t xml:space="preserve">e examinations and inquiries. </w:t>
      </w:r>
      <w:proofErr w:type="gramStart"/>
      <w:r>
        <w:t>(ECF No. 1 ¶ 12(c)-(d)).</w:t>
      </w:r>
      <w:proofErr w:type="gramEnd"/>
      <w:r>
        <w:t xml:space="preserve"> According to the EEOC, discovery has revealed that 26 </w:t>
      </w:r>
      <w:r>
        <w:rPr>
          <w:rFonts w:cs="Palatino Linotype"/>
        </w:rPr>
        <w:t xml:space="preserve">unsuccessful applicants were “disabled” within the </w:t>
      </w:r>
      <w:r>
        <w:t xml:space="preserve">meaning of the ADA during the relevant period of time. (ECF No. 114 at 20-22). </w:t>
      </w:r>
      <w:r>
        <w:rPr>
          <w:spacing w:val="-2"/>
        </w:rPr>
        <w:t xml:space="preserve">The </w:t>
      </w:r>
      <w:r>
        <w:rPr>
          <w:rFonts w:cs="Palatino Linotype"/>
        </w:rPr>
        <w:t>Defendants co</w:t>
      </w:r>
      <w:r>
        <w:rPr>
          <w:rFonts w:cs="Palatino Linotype"/>
        </w:rPr>
        <w:t>ncede that those individuals were statutorily “disabled” for purposes of</w:t>
      </w:r>
      <w:r>
        <w:rPr>
          <w:rFonts w:cs="Palatino Linotype"/>
          <w:spacing w:val="16"/>
        </w:rPr>
        <w:t xml:space="preserve"> </w:t>
      </w:r>
      <w:r>
        <w:rPr>
          <w:rFonts w:cs="Palatino Linotype"/>
        </w:rPr>
        <w:t>the</w:t>
      </w: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1"/>
        <w:rPr>
          <w:rFonts w:ascii="Palatino Linotype" w:eastAsia="Palatino Linotype" w:hAnsi="Palatino Linotype" w:cs="Palatino Linotype"/>
          <w:sz w:val="28"/>
          <w:szCs w:val="28"/>
        </w:rPr>
      </w:pPr>
    </w:p>
    <w:p w:rsidR="002A1594" w:rsidRDefault="00073D1D">
      <w:pPr>
        <w:pStyle w:val="BodyText"/>
        <w:ind w:left="4371" w:right="4369"/>
        <w:jc w:val="center"/>
      </w:pPr>
      <w:r>
        <w:t>11</w:t>
      </w:r>
    </w:p>
    <w:p w:rsidR="002A1594" w:rsidRDefault="002A1594">
      <w:pPr>
        <w:jc w:val="center"/>
        <w:sectPr w:rsidR="002A1594">
          <w:headerReference w:type="default" r:id="rId10"/>
          <w:pgSz w:w="12240" w:h="15840"/>
          <w:pgMar w:top="540" w:right="1620" w:bottom="280" w:left="1620" w:header="306" w:footer="0" w:gutter="0"/>
          <w:pgNumType w:start="11"/>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104"/>
        <w:jc w:val="both"/>
      </w:pPr>
      <w:proofErr w:type="gramStart"/>
      <w:r>
        <w:t>pending</w:t>
      </w:r>
      <w:proofErr w:type="gramEnd"/>
      <w:r>
        <w:t xml:space="preserve"> motions for summary judgment.</w:t>
      </w:r>
      <w:r>
        <w:rPr>
          <w:position w:val="6"/>
          <w:sz w:val="13"/>
          <w:szCs w:val="13"/>
        </w:rPr>
        <w:t xml:space="preserve">2 </w:t>
      </w:r>
      <w:r>
        <w:t xml:space="preserve">(ECF No. 130 at 1).  In addition to the §  12112(d) claims premised on the unlawful medical examinations and inquiries, the EEOC brings § 12112(a) claims on behalf of the 26 </w:t>
      </w:r>
      <w:r>
        <w:rPr>
          <w:rFonts w:cs="Palatino Linotype"/>
        </w:rPr>
        <w:t xml:space="preserve">“disabled” applicants who were not offered </w:t>
      </w:r>
      <w:r>
        <w:t xml:space="preserve">positions with the CCC.  (ECF No. 1 at </w:t>
      </w:r>
      <w:r>
        <w:t>¶</w:t>
      </w:r>
      <w:r>
        <w:rPr>
          <w:spacing w:val="-7"/>
        </w:rPr>
        <w:t xml:space="preserve"> </w:t>
      </w:r>
      <w:r>
        <w:t>12(g)).</w:t>
      </w:r>
    </w:p>
    <w:p w:rsidR="002A1594" w:rsidRDefault="00073D1D">
      <w:pPr>
        <w:pStyle w:val="BodyText"/>
        <w:spacing w:before="0" w:line="480" w:lineRule="auto"/>
        <w:ind w:right="102" w:firstLine="719"/>
        <w:jc w:val="both"/>
      </w:pPr>
      <w:r>
        <w:t xml:space="preserve">The motion for partial summary judgment filed by the EEOC relates only to the claims arising under § 12112(d). (ECF No. 95). Since it is undisputed that illegal pre-offer </w:t>
      </w:r>
      <w:r>
        <w:rPr>
          <w:rFonts w:cs="Palatino Linotype"/>
        </w:rPr>
        <w:t xml:space="preserve">medical examinations and inquiries were conducted in connection with the </w:t>
      </w:r>
      <w:r>
        <w:rPr>
          <w:rFonts w:cs="Palatino Linotype"/>
          <w:spacing w:val="-6"/>
        </w:rPr>
        <w:t>CC</w:t>
      </w:r>
      <w:r>
        <w:rPr>
          <w:rFonts w:cs="Palatino Linotype"/>
          <w:spacing w:val="-6"/>
        </w:rPr>
        <w:t xml:space="preserve">C’s </w:t>
      </w:r>
      <w:r>
        <w:rPr>
          <w:rFonts w:cs="Palatino Linotype"/>
        </w:rPr>
        <w:t xml:space="preserve">hiring </w:t>
      </w:r>
      <w:r>
        <w:t xml:space="preserve">process, the EEOC seeks an order enjoining the Defendants from violating § 12112(d) in the future. (ECF No. 95-1 at 9). </w:t>
      </w:r>
      <w:r>
        <w:rPr>
          <w:rFonts w:cs="Palatino Linotype"/>
        </w:rPr>
        <w:t xml:space="preserve">The EEOC also requests that “further proceedings” </w:t>
      </w:r>
      <w:proofErr w:type="gramStart"/>
      <w:r>
        <w:rPr>
          <w:rFonts w:cs="Palatino Linotype"/>
        </w:rPr>
        <w:t>be  held</w:t>
      </w:r>
      <w:proofErr w:type="gramEnd"/>
      <w:r>
        <w:rPr>
          <w:rFonts w:cs="Palatino Linotype"/>
        </w:rPr>
        <w:t xml:space="preserve"> “to determine individualized remedies for the aforementioned viola</w:t>
      </w:r>
      <w:r>
        <w:rPr>
          <w:rFonts w:cs="Palatino Linotype"/>
        </w:rPr>
        <w:t xml:space="preserve">tions of the ADA.” </w:t>
      </w:r>
      <w:r>
        <w:rPr>
          <w:rFonts w:cs="Palatino Linotype"/>
          <w:i/>
        </w:rPr>
        <w:t>(Id.</w:t>
      </w:r>
      <w:r>
        <w:t>). The Defendants broadly move for summary judgment with respect to all claims asserted against them in this case.  (ECF No.</w:t>
      </w:r>
      <w:r>
        <w:rPr>
          <w:spacing w:val="-12"/>
        </w:rPr>
        <w:t xml:space="preserve"> </w:t>
      </w:r>
      <w:r>
        <w:t>92).</w:t>
      </w:r>
    </w:p>
    <w:p w:rsidR="002A1594" w:rsidRDefault="002A1594">
      <w:pPr>
        <w:spacing w:before="10"/>
        <w:rPr>
          <w:rFonts w:ascii="Palatino Linotype" w:eastAsia="Palatino Linotype" w:hAnsi="Palatino Linotype" w:cs="Palatino Linotype"/>
          <w:sz w:val="17"/>
          <w:szCs w:val="17"/>
        </w:rPr>
      </w:pPr>
    </w:p>
    <w:p w:rsidR="002A1594" w:rsidRDefault="00073D1D">
      <w:pPr>
        <w:pStyle w:val="Heading3"/>
        <w:numPr>
          <w:ilvl w:val="1"/>
          <w:numId w:val="1"/>
        </w:numPr>
        <w:tabs>
          <w:tab w:val="left" w:pos="1549"/>
        </w:tabs>
        <w:ind w:right="105"/>
        <w:jc w:val="left"/>
        <w:rPr>
          <w:b w:val="0"/>
          <w:bCs w:val="0"/>
        </w:rPr>
      </w:pPr>
      <w:r>
        <w:rPr>
          <w:rFonts w:cs="Palatino Linotype"/>
        </w:rPr>
        <w:t xml:space="preserve">The </w:t>
      </w:r>
      <w:r>
        <w:rPr>
          <w:rFonts w:cs="Palatino Linotype"/>
          <w:spacing w:val="-3"/>
        </w:rPr>
        <w:t xml:space="preserve">EEOC’s </w:t>
      </w:r>
      <w:proofErr w:type="gramStart"/>
      <w:r>
        <w:rPr>
          <w:rFonts w:cs="Palatino Linotype"/>
        </w:rPr>
        <w:t>Standing</w:t>
      </w:r>
      <w:proofErr w:type="gramEnd"/>
      <w:r>
        <w:rPr>
          <w:rFonts w:cs="Palatino Linotype"/>
        </w:rPr>
        <w:t xml:space="preserve"> to </w:t>
      </w:r>
      <w:r>
        <w:t>Assert ADA Claims on Behalf of the Aggrieved Applicants</w:t>
      </w:r>
    </w:p>
    <w:p w:rsidR="002A1594" w:rsidRDefault="002A1594">
      <w:pPr>
        <w:spacing w:before="9"/>
        <w:rPr>
          <w:rFonts w:ascii="Palatino Linotype" w:eastAsia="Palatino Linotype" w:hAnsi="Palatino Linotype" w:cs="Palatino Linotype"/>
          <w:b/>
          <w:bCs/>
          <w:sz w:val="17"/>
          <w:szCs w:val="17"/>
        </w:rPr>
      </w:pPr>
    </w:p>
    <w:p w:rsidR="002A1594" w:rsidRDefault="00073D1D">
      <w:pPr>
        <w:pStyle w:val="BodyText"/>
        <w:spacing w:before="0" w:line="480" w:lineRule="auto"/>
        <w:ind w:right="104" w:firstLine="719"/>
        <w:jc w:val="both"/>
      </w:pPr>
      <w:proofErr w:type="gramStart"/>
      <w:r>
        <w:t xml:space="preserve">A federal court operating under the strictures of Article III of the Constitution </w:t>
      </w:r>
      <w:r>
        <w:rPr>
          <w:rFonts w:cs="Palatino Linotype"/>
        </w:rPr>
        <w:t xml:space="preserve">“generally may not rule </w:t>
      </w:r>
      <w:r>
        <w:t xml:space="preserve">on the merits of a case without first determining that it has </w:t>
      </w:r>
      <w:r>
        <w:rPr>
          <w:rFonts w:cs="Palatino Linotype"/>
        </w:rPr>
        <w:t>jurisdiction over the category of claim in suit.”</w:t>
      </w:r>
      <w:proofErr w:type="gramEnd"/>
      <w:r>
        <w:rPr>
          <w:rFonts w:cs="Palatino Linotype"/>
        </w:rPr>
        <w:t xml:space="preserve"> </w:t>
      </w:r>
      <w:r>
        <w:rPr>
          <w:rFonts w:cs="Palatino Linotype"/>
          <w:i/>
        </w:rPr>
        <w:t xml:space="preserve">Sinochem International Co., Inc. </w:t>
      </w:r>
      <w:r>
        <w:rPr>
          <w:rFonts w:cs="Palatino Linotype"/>
          <w:i/>
          <w:spacing w:val="-6"/>
        </w:rPr>
        <w:t xml:space="preserve">v. </w:t>
      </w:r>
      <w:r>
        <w:rPr>
          <w:rFonts w:cs="Palatino Linotype"/>
          <w:i/>
        </w:rPr>
        <w:t>Ma</w:t>
      </w:r>
      <w:r>
        <w:rPr>
          <w:rFonts w:cs="Palatino Linotype"/>
          <w:i/>
        </w:rPr>
        <w:t xml:space="preserve">laysia </w:t>
      </w:r>
      <w:proofErr w:type="gramStart"/>
      <w:r>
        <w:rPr>
          <w:rFonts w:cs="Palatino Linotype"/>
          <w:i/>
        </w:rPr>
        <w:t>Int’l  Shipping</w:t>
      </w:r>
      <w:proofErr w:type="gramEnd"/>
      <w:r>
        <w:rPr>
          <w:rFonts w:cs="Palatino Linotype"/>
          <w:i/>
        </w:rPr>
        <w:t xml:space="preserve">  Corp.</w:t>
      </w:r>
      <w:r>
        <w:t>,  549  U.S.  422</w:t>
      </w:r>
      <w:proofErr w:type="gramStart"/>
      <w:r>
        <w:t>,  430</w:t>
      </w:r>
      <w:proofErr w:type="gramEnd"/>
      <w:r>
        <w:t xml:space="preserve">-31  (2007).    </w:t>
      </w:r>
      <w:proofErr w:type="gramStart"/>
      <w:r>
        <w:t>Like  all</w:t>
      </w:r>
      <w:proofErr w:type="gramEnd"/>
      <w:r>
        <w:t xml:space="preserve">  other  Article  III   </w:t>
      </w:r>
      <w:r>
        <w:rPr>
          <w:spacing w:val="50"/>
        </w:rPr>
        <w:t xml:space="preserve"> </w:t>
      </w:r>
      <w:r>
        <w:t>tribunals</w:t>
      </w:r>
    </w:p>
    <w:p w:rsidR="002A1594" w:rsidRDefault="002A1594">
      <w:pPr>
        <w:spacing w:before="8"/>
        <w:rPr>
          <w:rFonts w:ascii="Palatino Linotype" w:eastAsia="Palatino Linotype" w:hAnsi="Palatino Linotype" w:cs="Palatino Linotype"/>
          <w:sz w:val="8"/>
          <w:szCs w:val="8"/>
        </w:rPr>
      </w:pPr>
    </w:p>
    <w:p w:rsidR="002A1594" w:rsidRDefault="00073D1D">
      <w:pPr>
        <w:spacing w:line="20" w:lineRule="exact"/>
        <w:ind w:left="102"/>
        <w:rPr>
          <w:rFonts w:ascii="Palatino Linotype" w:eastAsia="Palatino Linotype" w:hAnsi="Palatino Linotype" w:cs="Palatino Linotype"/>
          <w:sz w:val="2"/>
          <w:szCs w:val="2"/>
        </w:rPr>
      </w:pPr>
      <w:r>
        <w:rPr>
          <w:rFonts w:ascii="Palatino Linotype" w:eastAsia="Palatino Linotype" w:hAnsi="Palatino Linotype" w:cs="Palatino Linotype"/>
          <w:sz w:val="2"/>
          <w:szCs w:val="2"/>
        </w:rPr>
      </w:r>
      <w:r>
        <w:rPr>
          <w:rFonts w:ascii="Palatino Linotype" w:eastAsia="Palatino Linotype" w:hAnsi="Palatino Linotype" w:cs="Palatino Linotype"/>
          <w:sz w:val="2"/>
          <w:szCs w:val="2"/>
        </w:rPr>
        <w:pict>
          <v:group id="_x0000_s1070" style="width:144.65pt;height:.6pt;mso-position-horizontal-relative:char;mso-position-vertical-relative:line" coordsize="2893,12">
            <v:group id="_x0000_s1071" style="position:absolute;left:6;top:6;width:2881;height:2" coordorigin="6,6" coordsize="2881,2">
              <v:shape id="_x0000_s1072" style="position:absolute;left:6;top:6;width:2881;height:2" coordorigin="6,6" coordsize="2881,0" path="m6,6r2880,e" filled="f" strokeweight=".6pt">
                <v:path arrowok="t"/>
              </v:shape>
            </v:group>
            <w10:wrap type="none"/>
            <w10:anchorlock/>
          </v:group>
        </w:pict>
      </w:r>
    </w:p>
    <w:p w:rsidR="002A1594" w:rsidRDefault="002A1594">
      <w:pPr>
        <w:spacing w:before="2"/>
        <w:rPr>
          <w:rFonts w:ascii="Palatino Linotype" w:eastAsia="Palatino Linotype" w:hAnsi="Palatino Linotype" w:cs="Palatino Linotype"/>
          <w:sz w:val="5"/>
          <w:szCs w:val="5"/>
        </w:rPr>
      </w:pPr>
    </w:p>
    <w:p w:rsidR="002A1594" w:rsidRDefault="00073D1D">
      <w:pPr>
        <w:spacing w:before="33"/>
        <w:ind w:left="108" w:right="98"/>
        <w:jc w:val="both"/>
        <w:rPr>
          <w:rFonts w:ascii="Palatino Linotype" w:eastAsia="Palatino Linotype" w:hAnsi="Palatino Linotype" w:cs="Palatino Linotype"/>
          <w:sz w:val="21"/>
          <w:szCs w:val="21"/>
        </w:rPr>
      </w:pPr>
      <w:r>
        <w:rPr>
          <w:rFonts w:ascii="Palatino Linotype" w:eastAsia="Palatino Linotype" w:hAnsi="Palatino Linotype" w:cs="Palatino Linotype"/>
          <w:position w:val="6"/>
          <w:sz w:val="13"/>
          <w:szCs w:val="13"/>
        </w:rPr>
        <w:t xml:space="preserve">2 </w:t>
      </w:r>
      <w:r>
        <w:rPr>
          <w:rFonts w:ascii="Palatino Linotype" w:eastAsia="Palatino Linotype" w:hAnsi="Palatino Linotype" w:cs="Palatino Linotype"/>
          <w:sz w:val="21"/>
          <w:szCs w:val="21"/>
        </w:rPr>
        <w:t xml:space="preserve">A party may stipulate to certain facts solely for purposes of a motion for summary judgment. </w:t>
      </w:r>
      <w:proofErr w:type="gramStart"/>
      <w:r>
        <w:rPr>
          <w:rFonts w:ascii="Palatino Linotype" w:eastAsia="Palatino Linotype" w:hAnsi="Palatino Linotype" w:cs="Palatino Linotype"/>
          <w:sz w:val="21"/>
          <w:szCs w:val="21"/>
        </w:rPr>
        <w:t>F</w:t>
      </w:r>
      <w:r>
        <w:rPr>
          <w:rFonts w:ascii="Palatino Linotype" w:eastAsia="Palatino Linotype" w:hAnsi="Palatino Linotype" w:cs="Palatino Linotype"/>
          <w:sz w:val="17"/>
          <w:szCs w:val="17"/>
        </w:rPr>
        <w:t>ED</w:t>
      </w:r>
      <w:r>
        <w:rPr>
          <w:rFonts w:ascii="Palatino Linotype" w:eastAsia="Palatino Linotype" w:hAnsi="Palatino Linotype" w:cs="Palatino Linotype"/>
          <w:sz w:val="21"/>
          <w:szCs w:val="21"/>
        </w:rPr>
        <w:t>.</w:t>
      </w:r>
      <w:proofErr w:type="gramEnd"/>
      <w:r>
        <w:rPr>
          <w:rFonts w:ascii="Palatino Linotype" w:eastAsia="Palatino Linotype" w:hAnsi="Palatino Linotype" w:cs="Palatino Linotype"/>
          <w:sz w:val="21"/>
          <w:szCs w:val="21"/>
        </w:rPr>
        <w:t xml:space="preserve"> R. C</w:t>
      </w:r>
      <w:r>
        <w:rPr>
          <w:rFonts w:ascii="Palatino Linotype" w:eastAsia="Palatino Linotype" w:hAnsi="Palatino Linotype" w:cs="Palatino Linotype"/>
          <w:sz w:val="17"/>
          <w:szCs w:val="17"/>
        </w:rPr>
        <w:t>IV</w:t>
      </w:r>
      <w:r>
        <w:rPr>
          <w:rFonts w:ascii="Palatino Linotype" w:eastAsia="Palatino Linotype" w:hAnsi="Palatino Linotype" w:cs="Palatino Linotype"/>
          <w:sz w:val="21"/>
          <w:szCs w:val="21"/>
        </w:rPr>
        <w:t>. P. 56(c</w:t>
      </w:r>
      <w:proofErr w:type="gramStart"/>
      <w:r>
        <w:rPr>
          <w:rFonts w:ascii="Palatino Linotype" w:eastAsia="Palatino Linotype" w:hAnsi="Palatino Linotype" w:cs="Palatino Linotype"/>
          <w:sz w:val="21"/>
          <w:szCs w:val="21"/>
        </w:rPr>
        <w:t>)(</w:t>
      </w:r>
      <w:proofErr w:type="gramEnd"/>
      <w:r>
        <w:rPr>
          <w:rFonts w:ascii="Palatino Linotype" w:eastAsia="Palatino Linotype" w:hAnsi="Palatino Linotype" w:cs="Palatino Linotype"/>
          <w:sz w:val="21"/>
          <w:szCs w:val="21"/>
        </w:rPr>
        <w:t>1)(A). Since the concession concerning the protected status of the twenty- six individuals identified by the EEOC as “disabled” is limited to</w:t>
      </w:r>
      <w:r>
        <w:rPr>
          <w:rFonts w:ascii="Palatino Linotype" w:eastAsia="Palatino Linotype" w:hAnsi="Palatino Linotype" w:cs="Palatino Linotype"/>
          <w:sz w:val="21"/>
          <w:szCs w:val="21"/>
        </w:rPr>
        <w:t xml:space="preserve"> this stage, the Defendants remain free to argue, at a later stage, that some or all of those individuals were not “disabled” at the time of the challenged personnel decisions. At this time, however, the Court assumes </w:t>
      </w:r>
      <w:r>
        <w:rPr>
          <w:rFonts w:ascii="Palatino Linotype" w:eastAsia="Palatino Linotype" w:hAnsi="Palatino Linotype" w:cs="Palatino Linotype"/>
          <w:i/>
          <w:sz w:val="21"/>
          <w:szCs w:val="21"/>
        </w:rPr>
        <w:t xml:space="preserve">arguendo </w:t>
      </w:r>
      <w:r>
        <w:rPr>
          <w:rFonts w:ascii="Palatino Linotype" w:eastAsia="Palatino Linotype" w:hAnsi="Palatino Linotype" w:cs="Palatino Linotype"/>
          <w:sz w:val="21"/>
          <w:szCs w:val="21"/>
        </w:rPr>
        <w:t>that each individual identifi</w:t>
      </w:r>
      <w:r>
        <w:rPr>
          <w:rFonts w:ascii="Palatino Linotype" w:eastAsia="Palatino Linotype" w:hAnsi="Palatino Linotype" w:cs="Palatino Linotype"/>
          <w:sz w:val="21"/>
          <w:szCs w:val="21"/>
        </w:rPr>
        <w:t xml:space="preserve">ed as “disabled” by the EEOC was under a “disability”   as defined by the ADA at the time of his or her rejection.  </w:t>
      </w:r>
      <w:proofErr w:type="gramStart"/>
      <w:r>
        <w:rPr>
          <w:rFonts w:ascii="Palatino Linotype" w:eastAsia="Palatino Linotype" w:hAnsi="Palatino Linotype" w:cs="Palatino Linotype"/>
          <w:sz w:val="21"/>
          <w:szCs w:val="21"/>
        </w:rPr>
        <w:t>42 U.S.C. §</w:t>
      </w:r>
      <w:r>
        <w:rPr>
          <w:rFonts w:ascii="Palatino Linotype" w:eastAsia="Palatino Linotype" w:hAnsi="Palatino Linotype" w:cs="Palatino Linotype"/>
          <w:spacing w:val="-13"/>
          <w:sz w:val="21"/>
          <w:szCs w:val="21"/>
        </w:rPr>
        <w:t xml:space="preserve"> </w:t>
      </w:r>
      <w:r>
        <w:rPr>
          <w:rFonts w:ascii="Palatino Linotype" w:eastAsia="Palatino Linotype" w:hAnsi="Palatino Linotype" w:cs="Palatino Linotype"/>
          <w:sz w:val="21"/>
          <w:szCs w:val="21"/>
        </w:rPr>
        <w:t>12102(1).</w:t>
      </w:r>
      <w:proofErr w:type="gramEnd"/>
    </w:p>
    <w:p w:rsidR="002A1594" w:rsidRDefault="002A1594">
      <w:pPr>
        <w:spacing w:before="12"/>
        <w:rPr>
          <w:rFonts w:ascii="Palatino Linotype" w:eastAsia="Palatino Linotype" w:hAnsi="Palatino Linotype" w:cs="Palatino Linotype"/>
          <w:sz w:val="19"/>
          <w:szCs w:val="19"/>
        </w:rPr>
      </w:pPr>
    </w:p>
    <w:p w:rsidR="002A1594" w:rsidRDefault="00073D1D">
      <w:pPr>
        <w:pStyle w:val="BodyText"/>
        <w:ind w:left="4371" w:right="4369"/>
        <w:jc w:val="center"/>
      </w:pPr>
      <w:r>
        <w:t>12</w:t>
      </w:r>
    </w:p>
    <w:p w:rsidR="002A1594" w:rsidRDefault="002A1594">
      <w:pPr>
        <w:jc w:val="center"/>
        <w:sectPr w:rsidR="002A1594">
          <w:pgSz w:w="12240" w:h="15840"/>
          <w:pgMar w:top="540" w:right="162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jc w:val="both"/>
        <w:rPr>
          <w:rFonts w:cs="Palatino Linotype"/>
        </w:rPr>
      </w:pPr>
      <w:proofErr w:type="gramStart"/>
      <w:r>
        <w:t>establish</w:t>
      </w:r>
      <w:r>
        <w:rPr>
          <w:rFonts w:cs="Palatino Linotype"/>
        </w:rPr>
        <w:t>ed</w:t>
      </w:r>
      <w:proofErr w:type="gramEnd"/>
      <w:r>
        <w:rPr>
          <w:rFonts w:cs="Palatino Linotype"/>
          <w:spacing w:val="17"/>
        </w:rPr>
        <w:t xml:space="preserve"> </w:t>
      </w:r>
      <w:r>
        <w:rPr>
          <w:rFonts w:cs="Palatino Linotype"/>
        </w:rPr>
        <w:t>by</w:t>
      </w:r>
      <w:r>
        <w:rPr>
          <w:rFonts w:cs="Palatino Linotype"/>
          <w:spacing w:val="17"/>
        </w:rPr>
        <w:t xml:space="preserve"> </w:t>
      </w:r>
      <w:r>
        <w:rPr>
          <w:rFonts w:cs="Palatino Linotype"/>
        </w:rPr>
        <w:t>Congress,</w:t>
      </w:r>
      <w:r>
        <w:rPr>
          <w:rFonts w:cs="Palatino Linotype"/>
          <w:spacing w:val="15"/>
        </w:rPr>
        <w:t xml:space="preserve"> </w:t>
      </w:r>
      <w:r>
        <w:rPr>
          <w:rFonts w:cs="Palatino Linotype"/>
        </w:rPr>
        <w:t>this</w:t>
      </w:r>
      <w:r>
        <w:rPr>
          <w:rFonts w:cs="Palatino Linotype"/>
          <w:spacing w:val="17"/>
        </w:rPr>
        <w:t xml:space="preserve"> </w:t>
      </w:r>
      <w:r>
        <w:rPr>
          <w:rFonts w:cs="Palatino Linotype"/>
        </w:rPr>
        <w:t>Court</w:t>
      </w:r>
      <w:r>
        <w:rPr>
          <w:rFonts w:cs="Palatino Linotype"/>
          <w:spacing w:val="15"/>
        </w:rPr>
        <w:t xml:space="preserve"> </w:t>
      </w:r>
      <w:r>
        <w:rPr>
          <w:rFonts w:cs="Palatino Linotype"/>
        </w:rPr>
        <w:t>exercises</w:t>
      </w:r>
      <w:r>
        <w:rPr>
          <w:rFonts w:cs="Palatino Linotype"/>
          <w:spacing w:val="17"/>
        </w:rPr>
        <w:t xml:space="preserve"> </w:t>
      </w:r>
      <w:r>
        <w:rPr>
          <w:rFonts w:cs="Palatino Linotype"/>
        </w:rPr>
        <w:t>“[t]he</w:t>
      </w:r>
      <w:r>
        <w:rPr>
          <w:rFonts w:cs="Palatino Linotype"/>
          <w:spacing w:val="19"/>
        </w:rPr>
        <w:t xml:space="preserve"> </w:t>
      </w:r>
      <w:r>
        <w:rPr>
          <w:rFonts w:cs="Palatino Linotype"/>
        </w:rPr>
        <w:t>judicial</w:t>
      </w:r>
      <w:r>
        <w:rPr>
          <w:rFonts w:cs="Palatino Linotype"/>
          <w:spacing w:val="16"/>
        </w:rPr>
        <w:t xml:space="preserve"> </w:t>
      </w:r>
      <w:r>
        <w:rPr>
          <w:rFonts w:cs="Palatino Linotype"/>
          <w:spacing w:val="-3"/>
        </w:rPr>
        <w:t>Power</w:t>
      </w:r>
      <w:r>
        <w:rPr>
          <w:rFonts w:cs="Palatino Linotype"/>
          <w:spacing w:val="18"/>
        </w:rPr>
        <w:t xml:space="preserve"> </w:t>
      </w:r>
      <w:r>
        <w:rPr>
          <w:rFonts w:cs="Palatino Linotype"/>
        </w:rPr>
        <w:t>of</w:t>
      </w:r>
      <w:r>
        <w:rPr>
          <w:rFonts w:cs="Palatino Linotype"/>
          <w:spacing w:val="17"/>
        </w:rPr>
        <w:t xml:space="preserve"> </w:t>
      </w:r>
      <w:r>
        <w:rPr>
          <w:rFonts w:cs="Palatino Linotype"/>
        </w:rPr>
        <w:t>the</w:t>
      </w:r>
      <w:r>
        <w:rPr>
          <w:rFonts w:cs="Palatino Linotype"/>
          <w:spacing w:val="17"/>
        </w:rPr>
        <w:t xml:space="preserve"> </w:t>
      </w:r>
      <w:r>
        <w:rPr>
          <w:rFonts w:cs="Palatino Linotype"/>
        </w:rPr>
        <w:t>United</w:t>
      </w:r>
      <w:r>
        <w:rPr>
          <w:rFonts w:cs="Palatino Linotype"/>
          <w:spacing w:val="17"/>
        </w:rPr>
        <w:t xml:space="preserve"> </w:t>
      </w:r>
      <w:r>
        <w:rPr>
          <w:rFonts w:cs="Palatino Linotype"/>
        </w:rPr>
        <w:t>States.”</w:t>
      </w:r>
    </w:p>
    <w:p w:rsidR="002A1594" w:rsidRDefault="002A1594">
      <w:pPr>
        <w:spacing w:before="13"/>
        <w:rPr>
          <w:rFonts w:ascii="Palatino Linotype" w:eastAsia="Palatino Linotype" w:hAnsi="Palatino Linotype" w:cs="Palatino Linotype"/>
          <w:sz w:val="21"/>
          <w:szCs w:val="21"/>
        </w:rPr>
      </w:pPr>
    </w:p>
    <w:p w:rsidR="002A1594" w:rsidRDefault="00073D1D">
      <w:pPr>
        <w:pStyle w:val="BodyText"/>
        <w:spacing w:before="0" w:line="480" w:lineRule="auto"/>
        <w:ind w:right="101"/>
        <w:jc w:val="both"/>
      </w:pPr>
      <w:proofErr w:type="gramStart"/>
      <w:r>
        <w:t xml:space="preserve">U.S. </w:t>
      </w:r>
      <w:r>
        <w:rPr>
          <w:spacing w:val="-3"/>
        </w:rPr>
        <w:t>C</w:t>
      </w:r>
      <w:r>
        <w:rPr>
          <w:spacing w:val="-3"/>
          <w:sz w:val="18"/>
          <w:szCs w:val="18"/>
        </w:rPr>
        <w:t>ONST</w:t>
      </w:r>
      <w:r>
        <w:rPr>
          <w:spacing w:val="-3"/>
        </w:rPr>
        <w:t xml:space="preserve">., </w:t>
      </w:r>
      <w:r>
        <w:rPr>
          <w:spacing w:val="-4"/>
        </w:rPr>
        <w:t>A</w:t>
      </w:r>
      <w:r>
        <w:rPr>
          <w:spacing w:val="-4"/>
          <w:sz w:val="18"/>
          <w:szCs w:val="18"/>
        </w:rPr>
        <w:t>RT</w:t>
      </w:r>
      <w:r>
        <w:rPr>
          <w:spacing w:val="-4"/>
        </w:rPr>
        <w:t>.</w:t>
      </w:r>
      <w:proofErr w:type="gramEnd"/>
      <w:r>
        <w:rPr>
          <w:spacing w:val="-4"/>
        </w:rPr>
        <w:t xml:space="preserve"> </w:t>
      </w:r>
      <w:proofErr w:type="gramStart"/>
      <w:r>
        <w:t>III, § 1.</w:t>
      </w:r>
      <w:proofErr w:type="gramEnd"/>
      <w:r>
        <w:t xml:space="preserve"> </w:t>
      </w:r>
      <w:r>
        <w:rPr>
          <w:rFonts w:cs="Palatino Linotype"/>
        </w:rPr>
        <w:t xml:space="preserve">This “judicial Power” is validly exercised only where a live “case” or “controversy” exists between the parties. </w:t>
      </w:r>
      <w:proofErr w:type="gramStart"/>
      <w:r>
        <w:rPr>
          <w:rFonts w:cs="Palatino Linotype"/>
          <w:i/>
        </w:rPr>
        <w:t xml:space="preserve">Hollingsworth </w:t>
      </w:r>
      <w:r>
        <w:rPr>
          <w:rFonts w:cs="Palatino Linotype"/>
          <w:i/>
          <w:spacing w:val="-6"/>
        </w:rPr>
        <w:t xml:space="preserve">v. </w:t>
      </w:r>
      <w:r>
        <w:rPr>
          <w:rFonts w:cs="Palatino Linotype"/>
          <w:i/>
        </w:rPr>
        <w:t>Perry</w:t>
      </w:r>
      <w:r>
        <w:t>, 133 S. Ct. 2652, 2659 (2013).</w:t>
      </w:r>
      <w:proofErr w:type="gramEnd"/>
      <w:r>
        <w:t xml:space="preserve"> </w:t>
      </w:r>
      <w:r>
        <w:rPr>
          <w:rFonts w:cs="Palatino Linotype"/>
        </w:rPr>
        <w:t xml:space="preserve">The power vested in a federal court “exists only to redress or otherwise to protect against injury to the complaining </w:t>
      </w:r>
      <w:r>
        <w:rPr>
          <w:rFonts w:cs="Palatino Linotype"/>
          <w:spacing w:val="-5"/>
        </w:rPr>
        <w:t xml:space="preserve">party, </w:t>
      </w:r>
      <w:r>
        <w:rPr>
          <w:rFonts w:cs="Palatino Linotype"/>
        </w:rPr>
        <w:t xml:space="preserve">even though the </w:t>
      </w:r>
      <w:r>
        <w:rPr>
          <w:rFonts w:cs="Palatino Linotype"/>
          <w:spacing w:val="-4"/>
        </w:rPr>
        <w:t xml:space="preserve">court’s </w:t>
      </w:r>
      <w:r>
        <w:rPr>
          <w:rFonts w:cs="Palatino Linotype"/>
        </w:rPr>
        <w:t xml:space="preserve">judgment may benefit others </w:t>
      </w:r>
      <w:r>
        <w:rPr>
          <w:rFonts w:cs="Palatino Linotype"/>
          <w:spacing w:val="-3"/>
        </w:rPr>
        <w:t xml:space="preserve">collaterally.” </w:t>
      </w:r>
      <w:proofErr w:type="gramStart"/>
      <w:r>
        <w:rPr>
          <w:rFonts w:cs="Palatino Linotype"/>
          <w:i/>
        </w:rPr>
        <w:t xml:space="preserve">Warth </w:t>
      </w:r>
      <w:r>
        <w:rPr>
          <w:rFonts w:cs="Palatino Linotype"/>
          <w:i/>
          <w:spacing w:val="-6"/>
        </w:rPr>
        <w:t xml:space="preserve">v. </w:t>
      </w:r>
      <w:r>
        <w:rPr>
          <w:rFonts w:cs="Palatino Linotype"/>
          <w:i/>
        </w:rPr>
        <w:t>Seldin</w:t>
      </w:r>
      <w:r>
        <w:t>, 422 U.S. 490, 499 (1975).</w:t>
      </w:r>
      <w:proofErr w:type="gramEnd"/>
      <w:r>
        <w:t xml:space="preserve"> An action does not </w:t>
      </w:r>
      <w:r>
        <w:rPr>
          <w:rFonts w:cs="Palatino Linotype"/>
        </w:rPr>
        <w:t>co</w:t>
      </w:r>
      <w:r>
        <w:rPr>
          <w:rFonts w:cs="Palatino Linotype"/>
        </w:rPr>
        <w:t xml:space="preserve">nstitute a justiciable “case” or “controversy” for constitutional purposes unless the person bringing the action has the proper legal “standing” to do so.       </w:t>
      </w:r>
      <w:r>
        <w:rPr>
          <w:rFonts w:cs="Palatino Linotype"/>
          <w:spacing w:val="20"/>
        </w:rPr>
        <w:t xml:space="preserve"> </w:t>
      </w:r>
      <w:proofErr w:type="gramStart"/>
      <w:r>
        <w:rPr>
          <w:rFonts w:cs="Palatino Linotype"/>
          <w:i/>
        </w:rPr>
        <w:t xml:space="preserve">Flast </w:t>
      </w:r>
      <w:r>
        <w:rPr>
          <w:rFonts w:cs="Palatino Linotype"/>
          <w:i/>
          <w:spacing w:val="-6"/>
        </w:rPr>
        <w:t>v.</w:t>
      </w:r>
      <w:proofErr w:type="gramEnd"/>
      <w:r>
        <w:rPr>
          <w:rFonts w:cs="Palatino Linotype"/>
          <w:i/>
          <w:spacing w:val="-6"/>
        </w:rPr>
        <w:t xml:space="preserve">  </w:t>
      </w:r>
      <w:r>
        <w:rPr>
          <w:rFonts w:cs="Palatino Linotype"/>
          <w:i/>
        </w:rPr>
        <w:t>Cohen</w:t>
      </w:r>
      <w:r>
        <w:t>, 392</w:t>
      </w:r>
    </w:p>
    <w:p w:rsidR="002A1594" w:rsidRDefault="00073D1D">
      <w:pPr>
        <w:pStyle w:val="BodyText"/>
        <w:spacing w:before="1" w:line="480" w:lineRule="auto"/>
        <w:ind w:right="101"/>
        <w:jc w:val="both"/>
      </w:pPr>
      <w:proofErr w:type="gramStart"/>
      <w:r>
        <w:t>U.S. 83, 95 (1968).</w:t>
      </w:r>
      <w:proofErr w:type="gramEnd"/>
      <w:r>
        <w:t xml:space="preserve"> </w:t>
      </w:r>
      <w:r>
        <w:rPr>
          <w:spacing w:val="-8"/>
        </w:rPr>
        <w:t>T</w:t>
      </w:r>
      <w:r>
        <w:rPr>
          <w:rFonts w:cs="Palatino Linotype"/>
          <w:spacing w:val="-8"/>
        </w:rPr>
        <w:t xml:space="preserve">o </w:t>
      </w:r>
      <w:r>
        <w:rPr>
          <w:rFonts w:cs="Palatino Linotype"/>
        </w:rPr>
        <w:t xml:space="preserve">satisfy the </w:t>
      </w:r>
      <w:r>
        <w:rPr>
          <w:rFonts w:cs="Palatino Linotype"/>
          <w:spacing w:val="-3"/>
        </w:rPr>
        <w:t xml:space="preserve">Constitution’s </w:t>
      </w:r>
      <w:r>
        <w:rPr>
          <w:rFonts w:cs="Palatino Linotype"/>
        </w:rPr>
        <w:t>“requirement of standin</w:t>
      </w:r>
      <w:r>
        <w:rPr>
          <w:rFonts w:cs="Palatino Linotype"/>
        </w:rPr>
        <w:t xml:space="preserve">g,” “[a] plaintiff must allege personal injury fairly traceable to the </w:t>
      </w:r>
      <w:r>
        <w:rPr>
          <w:rFonts w:cs="Palatino Linotype"/>
          <w:spacing w:val="-3"/>
        </w:rPr>
        <w:t xml:space="preserve">defendant’s </w:t>
      </w:r>
      <w:r>
        <w:rPr>
          <w:rFonts w:cs="Palatino Linotype"/>
        </w:rPr>
        <w:t xml:space="preserve">allegedly unlawful conduct and likely to be redressed by the requested relief.” </w:t>
      </w:r>
      <w:r>
        <w:rPr>
          <w:rFonts w:cs="Palatino Linotype"/>
          <w:i/>
        </w:rPr>
        <w:t xml:space="preserve">Allen </w:t>
      </w:r>
      <w:r>
        <w:rPr>
          <w:rFonts w:cs="Palatino Linotype"/>
          <w:i/>
          <w:spacing w:val="-6"/>
        </w:rPr>
        <w:t xml:space="preserve">v. </w:t>
      </w:r>
      <w:r>
        <w:rPr>
          <w:rFonts w:cs="Palatino Linotype"/>
          <w:i/>
        </w:rPr>
        <w:t>Wright</w:t>
      </w:r>
      <w:r>
        <w:t xml:space="preserve">, 468 U.S. 737, </w:t>
      </w:r>
      <w:proofErr w:type="gramStart"/>
      <w:r>
        <w:t xml:space="preserve">751  </w:t>
      </w:r>
      <w:r>
        <w:rPr>
          <w:rFonts w:cs="Palatino Linotype"/>
        </w:rPr>
        <w:t>(</w:t>
      </w:r>
      <w:proofErr w:type="gramEnd"/>
      <w:r>
        <w:rPr>
          <w:rFonts w:cs="Palatino Linotype"/>
        </w:rPr>
        <w:t>1984). “This triad of injury in fa</w:t>
      </w:r>
      <w:r>
        <w:t>ct, causation, and red</w:t>
      </w:r>
      <w:r>
        <w:t xml:space="preserve">ressability comprises the core of </w:t>
      </w:r>
      <w:r>
        <w:rPr>
          <w:rFonts w:cs="Palatino Linotype"/>
        </w:rPr>
        <w:t xml:space="preserve">Article </w:t>
      </w:r>
      <w:r>
        <w:rPr>
          <w:rFonts w:cs="Palatino Linotype"/>
          <w:spacing w:val="-6"/>
        </w:rPr>
        <w:t xml:space="preserve">III’s </w:t>
      </w:r>
      <w:r>
        <w:rPr>
          <w:rFonts w:cs="Palatino Linotype"/>
        </w:rPr>
        <w:t>case</w:t>
      </w:r>
      <w:r>
        <w:t xml:space="preserve">-or-controversy requirement, and the party invoking federal jurisdiction </w:t>
      </w:r>
      <w:r>
        <w:rPr>
          <w:rFonts w:cs="Palatino Linotype"/>
        </w:rPr>
        <w:t xml:space="preserve">bears the burden of establishing its existence.” </w:t>
      </w:r>
      <w:r>
        <w:rPr>
          <w:rFonts w:cs="Palatino Linotype"/>
          <w:i/>
        </w:rPr>
        <w:t xml:space="preserve">Steel Co. </w:t>
      </w:r>
      <w:r>
        <w:rPr>
          <w:rFonts w:cs="Palatino Linotype"/>
          <w:i/>
          <w:spacing w:val="-6"/>
        </w:rPr>
        <w:t xml:space="preserve">v. </w:t>
      </w:r>
      <w:r>
        <w:rPr>
          <w:rFonts w:cs="Palatino Linotype"/>
          <w:i/>
        </w:rPr>
        <w:t>Citizens for a Better Env’t</w:t>
      </w:r>
      <w:r>
        <w:t xml:space="preserve">, </w:t>
      </w:r>
      <w:proofErr w:type="gramStart"/>
      <w:r>
        <w:t>523  U.S</w:t>
      </w:r>
      <w:proofErr w:type="gramEnd"/>
      <w:r>
        <w:t>. 83, 103-04</w:t>
      </w:r>
      <w:r>
        <w:rPr>
          <w:spacing w:val="-3"/>
        </w:rPr>
        <w:t xml:space="preserve"> </w:t>
      </w:r>
      <w:r>
        <w:t>(1998).</w:t>
      </w:r>
    </w:p>
    <w:p w:rsidR="002A1594" w:rsidRDefault="00073D1D">
      <w:pPr>
        <w:pStyle w:val="BodyText"/>
        <w:spacing w:before="0" w:line="480" w:lineRule="auto"/>
        <w:ind w:right="101" w:firstLine="719"/>
        <w:jc w:val="both"/>
      </w:pPr>
      <w:r>
        <w:t>The Defenda</w:t>
      </w:r>
      <w:r>
        <w:t xml:space="preserve">nts </w:t>
      </w:r>
      <w:r>
        <w:rPr>
          <w:spacing w:val="-3"/>
        </w:rPr>
        <w:t xml:space="preserve">move </w:t>
      </w:r>
      <w:r>
        <w:t>for summary judgment on the ground that the EEOC lacks standing. (ECF No. 93 at 9-15)</w:t>
      </w:r>
      <w:r>
        <w:rPr>
          <w:rFonts w:cs="Palatino Linotype"/>
        </w:rPr>
        <w:t xml:space="preserve">. This attack on the </w:t>
      </w:r>
      <w:r>
        <w:rPr>
          <w:rFonts w:cs="Palatino Linotype"/>
          <w:spacing w:val="-5"/>
        </w:rPr>
        <w:t xml:space="preserve">EEOC’s </w:t>
      </w:r>
      <w:r>
        <w:rPr>
          <w:rFonts w:cs="Palatino Linotype"/>
        </w:rPr>
        <w:t xml:space="preserve">standing is </w:t>
      </w:r>
      <w:proofErr w:type="gramStart"/>
      <w:r>
        <w:rPr>
          <w:rFonts w:cs="Palatino Linotype"/>
        </w:rPr>
        <w:t>predicated  on</w:t>
      </w:r>
      <w:proofErr w:type="gramEnd"/>
      <w:r>
        <w:rPr>
          <w:rFonts w:cs="Palatino Linotype"/>
        </w:rPr>
        <w:t xml:space="preserve"> a belief that none of the applicants were “injured” by the unlawful medical exami</w:t>
      </w:r>
      <w:r>
        <w:t>nations and inquiries chal</w:t>
      </w:r>
      <w:r>
        <w:t xml:space="preserve">lenged in this case. (ECF No. 111 at 2-5). In </w:t>
      </w:r>
      <w:r>
        <w:rPr>
          <w:rFonts w:cs="Palatino Linotype"/>
          <w:i/>
          <w:spacing w:val="-5"/>
        </w:rPr>
        <w:t xml:space="preserve">Tice </w:t>
      </w:r>
      <w:r>
        <w:rPr>
          <w:rFonts w:cs="Palatino Linotype"/>
          <w:i/>
          <w:spacing w:val="-6"/>
        </w:rPr>
        <w:t xml:space="preserve">v. </w:t>
      </w:r>
      <w:r>
        <w:rPr>
          <w:rFonts w:cs="Palatino Linotype"/>
          <w:i/>
        </w:rPr>
        <w:t xml:space="preserve">Centre </w:t>
      </w:r>
      <w:r>
        <w:rPr>
          <w:rFonts w:cs="Palatino Linotype"/>
          <w:i/>
          <w:spacing w:val="-3"/>
        </w:rPr>
        <w:t xml:space="preserve">Area Transportation </w:t>
      </w:r>
      <w:r>
        <w:rPr>
          <w:rFonts w:cs="Palatino Linotype"/>
          <w:i/>
        </w:rPr>
        <w:t>Authority</w:t>
      </w:r>
      <w:r>
        <w:t xml:space="preserve">, 247 </w:t>
      </w:r>
      <w:r>
        <w:rPr>
          <w:spacing w:val="-4"/>
        </w:rPr>
        <w:t xml:space="preserve">F.3d </w:t>
      </w:r>
      <w:r>
        <w:t xml:space="preserve">506, 519-20 (3d </w:t>
      </w:r>
      <w:r>
        <w:rPr>
          <w:spacing w:val="-4"/>
        </w:rPr>
        <w:t xml:space="preserve">Cir. </w:t>
      </w:r>
      <w:r>
        <w:t>2001), the Third Circuit held that a plaintiff proceeding with a claim un</w:t>
      </w:r>
      <w:r>
        <w:rPr>
          <w:rFonts w:cs="Palatino Linotype"/>
        </w:rPr>
        <w:t>der § 12112(d) must “demonstrat</w:t>
      </w:r>
      <w:r>
        <w:t xml:space="preserve">[e] the existence </w:t>
      </w:r>
      <w:proofErr w:type="gramStart"/>
      <w:r>
        <w:t>of  an</w:t>
      </w:r>
      <w:proofErr w:type="gramEnd"/>
      <w:r>
        <w:t xml:space="preserve"> injury-in-</w:t>
      </w:r>
      <w:r>
        <w:rPr>
          <w:rFonts w:cs="Palatino Linotype"/>
        </w:rPr>
        <w:t xml:space="preserve">fact” in order to obtain relief.   </w:t>
      </w:r>
      <w:r>
        <w:t xml:space="preserve">Relying on </w:t>
      </w:r>
      <w:r>
        <w:rPr>
          <w:rFonts w:cs="Palatino Linotype"/>
          <w:i/>
          <w:spacing w:val="-4"/>
        </w:rPr>
        <w:t>Tice</w:t>
      </w:r>
      <w:r>
        <w:rPr>
          <w:spacing w:val="-4"/>
        </w:rPr>
        <w:t xml:space="preserve">, </w:t>
      </w:r>
      <w:r>
        <w:t xml:space="preserve">the Defendants maintain  </w:t>
      </w:r>
      <w:r>
        <w:rPr>
          <w:spacing w:val="29"/>
        </w:rPr>
        <w:t xml:space="preserve"> </w:t>
      </w:r>
      <w:r>
        <w:t>that</w:t>
      </w:r>
    </w:p>
    <w:p w:rsidR="002A1594" w:rsidRDefault="00073D1D">
      <w:pPr>
        <w:pStyle w:val="BodyText"/>
        <w:ind w:left="4371" w:right="4369"/>
        <w:jc w:val="center"/>
      </w:pPr>
      <w:r>
        <w:t>13</w:t>
      </w:r>
    </w:p>
    <w:p w:rsidR="002A1594" w:rsidRDefault="002A1594">
      <w:pPr>
        <w:jc w:val="center"/>
        <w:sectPr w:rsidR="002A1594">
          <w:pgSz w:w="12240" w:h="15840"/>
          <w:pgMar w:top="540" w:right="162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109"/>
        <w:jc w:val="both"/>
      </w:pPr>
      <w:proofErr w:type="gramStart"/>
      <w:r>
        <w:rPr>
          <w:rFonts w:cs="Palatino Linotype"/>
        </w:rPr>
        <w:t>the</w:t>
      </w:r>
      <w:proofErr w:type="gramEnd"/>
      <w:r>
        <w:rPr>
          <w:rFonts w:cs="Palatino Linotype"/>
        </w:rPr>
        <w:t xml:space="preserve"> EEOC lacks standing to assert § 12112(d) claims in this case because no “injuries” </w:t>
      </w:r>
      <w:r>
        <w:t>resulted from the improper medi</w:t>
      </w:r>
      <w:r>
        <w:t>cal examinations and inquiries.  (ECF No. 93 at</w:t>
      </w:r>
      <w:r>
        <w:rPr>
          <w:spacing w:val="-17"/>
        </w:rPr>
        <w:t xml:space="preserve"> </w:t>
      </w:r>
      <w:r>
        <w:t>11).</w:t>
      </w:r>
    </w:p>
    <w:p w:rsidR="002A1594" w:rsidRDefault="00073D1D">
      <w:pPr>
        <w:pStyle w:val="BodyText"/>
        <w:spacing w:before="1" w:line="480" w:lineRule="auto"/>
        <w:ind w:right="101" w:firstLine="719"/>
        <w:jc w:val="both"/>
      </w:pPr>
      <w:r>
        <w:t xml:space="preserve">By relying on </w:t>
      </w:r>
      <w:r>
        <w:rPr>
          <w:rFonts w:cs="Palatino Linotype"/>
          <w:i/>
          <w:spacing w:val="-5"/>
        </w:rPr>
        <w:t xml:space="preserve">Tice </w:t>
      </w:r>
      <w:r>
        <w:rPr>
          <w:rFonts w:cs="Palatino Linotype"/>
        </w:rPr>
        <w:t xml:space="preserve">to challenge the </w:t>
      </w:r>
      <w:r>
        <w:rPr>
          <w:rFonts w:cs="Palatino Linotype"/>
          <w:spacing w:val="-5"/>
        </w:rPr>
        <w:t xml:space="preserve">EEOC’s </w:t>
      </w:r>
      <w:r>
        <w:rPr>
          <w:rFonts w:cs="Palatino Linotype"/>
        </w:rPr>
        <w:t xml:space="preserve">standing in this case, the Defendants conflate the “injury” necessary to satisfy </w:t>
      </w:r>
      <w:r>
        <w:t xml:space="preserve">the jurisdictional prerequisites of Article III with </w:t>
      </w:r>
      <w:r>
        <w:rPr>
          <w:rFonts w:cs="Palatino Linotype"/>
        </w:rPr>
        <w:t>the “injury” needed to jus</w:t>
      </w:r>
      <w:r>
        <w:rPr>
          <w:rFonts w:cs="Palatino Linotype"/>
        </w:rPr>
        <w:t>tify an award of damage</w:t>
      </w:r>
      <w:r>
        <w:t xml:space="preserve">s under the ADA. </w:t>
      </w:r>
      <w:r>
        <w:rPr>
          <w:rFonts w:cs="Palatino Linotype"/>
          <w:spacing w:val="-12"/>
        </w:rPr>
        <w:t xml:space="preserve">“An </w:t>
      </w:r>
      <w:r>
        <w:rPr>
          <w:rFonts w:cs="Palatino Linotype"/>
        </w:rPr>
        <w:t xml:space="preserve">injury need not be economic or tangible in order to confer standing.” </w:t>
      </w:r>
      <w:proofErr w:type="gramStart"/>
      <w:r>
        <w:rPr>
          <w:rFonts w:cs="Palatino Linotype"/>
          <w:i/>
        </w:rPr>
        <w:t xml:space="preserve">LeBlanc-Sternberg </w:t>
      </w:r>
      <w:r>
        <w:rPr>
          <w:rFonts w:cs="Palatino Linotype"/>
          <w:i/>
          <w:spacing w:val="-8"/>
        </w:rPr>
        <w:t xml:space="preserve">v. </w:t>
      </w:r>
      <w:r>
        <w:rPr>
          <w:rFonts w:cs="Palatino Linotype"/>
          <w:i/>
        </w:rPr>
        <w:t>Fletcher</w:t>
      </w:r>
      <w:r>
        <w:t xml:space="preserve">, 67 </w:t>
      </w:r>
      <w:r>
        <w:rPr>
          <w:spacing w:val="-4"/>
        </w:rPr>
        <w:t xml:space="preserve">F.3d </w:t>
      </w:r>
      <w:r>
        <w:t xml:space="preserve">412, 425 (2d </w:t>
      </w:r>
      <w:r>
        <w:rPr>
          <w:spacing w:val="-4"/>
        </w:rPr>
        <w:t xml:space="preserve">Cir. </w:t>
      </w:r>
      <w:r>
        <w:t>1995</w:t>
      </w:r>
      <w:r>
        <w:rPr>
          <w:rFonts w:cs="Palatino Linotype"/>
        </w:rPr>
        <w:t>).</w:t>
      </w:r>
      <w:proofErr w:type="gramEnd"/>
      <w:r>
        <w:rPr>
          <w:rFonts w:cs="Palatino Linotype"/>
        </w:rPr>
        <w:t xml:space="preserve"> The “injury” required under Article III </w:t>
      </w:r>
      <w:r>
        <w:t xml:space="preserve">generally </w:t>
      </w:r>
      <w:r>
        <w:rPr>
          <w:rFonts w:cs="Palatino Linotype"/>
        </w:rPr>
        <w:t xml:space="preserve">consists of “an </w:t>
      </w:r>
      <w:r>
        <w:t xml:space="preserve">invasion of a legally protected </w:t>
      </w:r>
      <w:r>
        <w:rPr>
          <w:rFonts w:cs="Palatino Linotype"/>
        </w:rPr>
        <w:t xml:space="preserve">interest.” </w:t>
      </w:r>
      <w:proofErr w:type="gramStart"/>
      <w:r>
        <w:rPr>
          <w:rFonts w:cs="Palatino Linotype"/>
          <w:i/>
        </w:rPr>
        <w:t xml:space="preserve">Lujan </w:t>
      </w:r>
      <w:r>
        <w:rPr>
          <w:rFonts w:cs="Palatino Linotype"/>
          <w:i/>
          <w:spacing w:val="-8"/>
        </w:rPr>
        <w:t xml:space="preserve">v. </w:t>
      </w:r>
      <w:r>
        <w:rPr>
          <w:rFonts w:cs="Palatino Linotype"/>
          <w:i/>
        </w:rPr>
        <w:t>Defenders of Wildlife</w:t>
      </w:r>
      <w:r>
        <w:t>, 504 U.S. 555, 560, (1992).</w:t>
      </w:r>
      <w:proofErr w:type="gramEnd"/>
      <w:r>
        <w:t xml:space="preserve"> The invasion of legal rights conferred upon an individual by statute can provide him or her with standing to seek redress in federal court.    </w:t>
      </w:r>
      <w:r>
        <w:rPr>
          <w:spacing w:val="20"/>
        </w:rPr>
        <w:t xml:space="preserve"> </w:t>
      </w:r>
      <w:r>
        <w:rPr>
          <w:rFonts w:cs="Palatino Linotype"/>
          <w:i/>
        </w:rPr>
        <w:t>Havens Rea</w:t>
      </w:r>
      <w:r>
        <w:rPr>
          <w:rFonts w:cs="Palatino Linotype"/>
          <w:i/>
        </w:rPr>
        <w:t xml:space="preserve">lty Corp. </w:t>
      </w:r>
      <w:r>
        <w:rPr>
          <w:rFonts w:cs="Palatino Linotype"/>
          <w:i/>
          <w:spacing w:val="-6"/>
        </w:rPr>
        <w:t xml:space="preserve">v. </w:t>
      </w:r>
      <w:r>
        <w:rPr>
          <w:rFonts w:cs="Palatino Linotype"/>
          <w:i/>
        </w:rPr>
        <w:t>Coleman</w:t>
      </w:r>
      <w:r>
        <w:t>,</w:t>
      </w:r>
    </w:p>
    <w:p w:rsidR="002A1594" w:rsidRDefault="00073D1D">
      <w:pPr>
        <w:pStyle w:val="BodyText"/>
        <w:spacing w:before="0" w:line="480" w:lineRule="auto"/>
        <w:ind w:right="102"/>
        <w:jc w:val="both"/>
        <w:rPr>
          <w:rFonts w:cs="Palatino Linotype"/>
        </w:rPr>
      </w:pPr>
      <w:proofErr w:type="gramStart"/>
      <w:r>
        <w:t>455 U.S. 363, 373-74 (1982</w:t>
      </w:r>
      <w:r>
        <w:rPr>
          <w:rFonts w:cs="Palatino Linotype"/>
        </w:rPr>
        <w:t>).</w:t>
      </w:r>
      <w:proofErr w:type="gramEnd"/>
      <w:r>
        <w:rPr>
          <w:rFonts w:cs="Palatino Linotype"/>
        </w:rPr>
        <w:t xml:space="preserve"> In certain instances, federal courts can “</w:t>
      </w:r>
      <w:proofErr w:type="gramStart"/>
      <w:r>
        <w:rPr>
          <w:rFonts w:cs="Palatino Linotype"/>
        </w:rPr>
        <w:t>vindicate[</w:t>
      </w:r>
      <w:proofErr w:type="gramEnd"/>
      <w:r>
        <w:rPr>
          <w:rFonts w:cs="Palatino Linotype"/>
        </w:rPr>
        <w:t xml:space="preserve">] deprivations of certain ‘absolute’ rights that are not shown to </w:t>
      </w:r>
      <w:r>
        <w:rPr>
          <w:rFonts w:cs="Palatino Linotype"/>
          <w:spacing w:val="-3"/>
        </w:rPr>
        <w:t xml:space="preserve">have </w:t>
      </w:r>
      <w:r>
        <w:rPr>
          <w:rFonts w:cs="Palatino Linotype"/>
        </w:rPr>
        <w:t xml:space="preserve">caused actual injury </w:t>
      </w:r>
      <w:r>
        <w:t>through th</w:t>
      </w:r>
      <w:r>
        <w:rPr>
          <w:rFonts w:cs="Palatino Linotype"/>
        </w:rPr>
        <w:t xml:space="preserve">e award of a nominal sum of </w:t>
      </w:r>
      <w:r>
        <w:rPr>
          <w:rFonts w:cs="Palatino Linotype"/>
          <w:spacing w:val="-5"/>
        </w:rPr>
        <w:t xml:space="preserve">money.”  </w:t>
      </w:r>
      <w:proofErr w:type="gramStart"/>
      <w:r>
        <w:rPr>
          <w:rFonts w:cs="Palatino Linotype"/>
          <w:i/>
        </w:rPr>
        <w:t xml:space="preserve">Carey </w:t>
      </w:r>
      <w:r>
        <w:rPr>
          <w:rFonts w:cs="Palatino Linotype"/>
          <w:i/>
          <w:spacing w:val="-6"/>
        </w:rPr>
        <w:t xml:space="preserve">v. </w:t>
      </w:r>
      <w:r>
        <w:rPr>
          <w:rFonts w:cs="Palatino Linotype"/>
          <w:i/>
        </w:rPr>
        <w:t>Piphu</w:t>
      </w:r>
      <w:r>
        <w:rPr>
          <w:rFonts w:cs="Palatino Linotype"/>
          <w:i/>
        </w:rPr>
        <w:t>s</w:t>
      </w:r>
      <w:r>
        <w:t>, 435 U.S. 247, 266 (1978).</w:t>
      </w:r>
      <w:proofErr w:type="gramEnd"/>
      <w:r>
        <w:t xml:space="preserve">  A violation of § 12112(d) occurs as soon as an employer conducts an unlawful medical examination or initiates a prohibited medical </w:t>
      </w:r>
      <w:r>
        <w:rPr>
          <w:spacing w:val="-4"/>
        </w:rPr>
        <w:t xml:space="preserve">inquiry. </w:t>
      </w:r>
      <w:r>
        <w:rPr>
          <w:rFonts w:cs="Palatino Linotype"/>
          <w:i/>
        </w:rPr>
        <w:t xml:space="preserve">Katz </w:t>
      </w:r>
      <w:r>
        <w:rPr>
          <w:rFonts w:cs="Palatino Linotype"/>
          <w:i/>
          <w:spacing w:val="-6"/>
        </w:rPr>
        <w:t xml:space="preserve">v. </w:t>
      </w:r>
      <w:r>
        <w:rPr>
          <w:rFonts w:cs="Palatino Linotype"/>
          <w:i/>
        </w:rPr>
        <w:t>Adecco USA, Inc.</w:t>
      </w:r>
      <w:proofErr w:type="gramStart"/>
      <w:r>
        <w:t>,  845</w:t>
      </w:r>
      <w:proofErr w:type="gramEnd"/>
      <w:r>
        <w:t xml:space="preserve">  </w:t>
      </w:r>
      <w:r>
        <w:rPr>
          <w:spacing w:val="-9"/>
        </w:rPr>
        <w:t xml:space="preserve">F. </w:t>
      </w:r>
      <w:r>
        <w:t xml:space="preserve">Supp. 2d 539, 545 n.7 </w:t>
      </w:r>
      <w:r>
        <w:rPr>
          <w:spacing w:val="-4"/>
        </w:rPr>
        <w:t xml:space="preserve">(S.D.N.Y. </w:t>
      </w:r>
      <w:r>
        <w:t>2012</w:t>
      </w:r>
      <w:r>
        <w:rPr>
          <w:rFonts w:cs="Palatino Linotype"/>
        </w:rPr>
        <w:t xml:space="preserve">). Article </w:t>
      </w:r>
      <w:r>
        <w:rPr>
          <w:rFonts w:cs="Palatino Linotype"/>
          <w:spacing w:val="-5"/>
        </w:rPr>
        <w:t>III’</w:t>
      </w:r>
      <w:r>
        <w:rPr>
          <w:rFonts w:cs="Palatino Linotype"/>
          <w:spacing w:val="-5"/>
        </w:rPr>
        <w:t xml:space="preserve">s </w:t>
      </w:r>
      <w:r>
        <w:rPr>
          <w:rFonts w:cs="Palatino Linotype"/>
        </w:rPr>
        <w:t>injury</w:t>
      </w:r>
      <w:r>
        <w:t xml:space="preserve">-in-fact requirement can be </w:t>
      </w:r>
      <w:r>
        <w:rPr>
          <w:rFonts w:cs="Palatino Linotype"/>
        </w:rPr>
        <w:t xml:space="preserve">satisfied by “an identifiable trifle of </w:t>
      </w:r>
      <w:r>
        <w:rPr>
          <w:rFonts w:cs="Palatino Linotype"/>
          <w:spacing w:val="-4"/>
        </w:rPr>
        <w:t xml:space="preserve">injury.” </w:t>
      </w:r>
      <w:proofErr w:type="gramStart"/>
      <w:r>
        <w:rPr>
          <w:rFonts w:cs="Palatino Linotype"/>
          <w:i/>
        </w:rPr>
        <w:t xml:space="preserve">NCAA </w:t>
      </w:r>
      <w:r>
        <w:rPr>
          <w:rFonts w:cs="Palatino Linotype"/>
          <w:i/>
          <w:spacing w:val="-6"/>
        </w:rPr>
        <w:t xml:space="preserve">v. </w:t>
      </w:r>
      <w:r>
        <w:rPr>
          <w:rFonts w:cs="Palatino Linotype"/>
          <w:i/>
        </w:rPr>
        <w:t>Governor of New Jersey</w:t>
      </w:r>
      <w:r>
        <w:t xml:space="preserve">, 730 </w:t>
      </w:r>
      <w:r>
        <w:rPr>
          <w:spacing w:val="-4"/>
        </w:rPr>
        <w:t xml:space="preserve">F.3d </w:t>
      </w:r>
      <w:r>
        <w:t xml:space="preserve">208, </w:t>
      </w:r>
      <w:r>
        <w:rPr>
          <w:rFonts w:cs="Palatino Linotype"/>
        </w:rPr>
        <w:t xml:space="preserve">219 (3d </w:t>
      </w:r>
      <w:r>
        <w:rPr>
          <w:rFonts w:cs="Palatino Linotype"/>
          <w:spacing w:val="-4"/>
        </w:rPr>
        <w:t xml:space="preserve">Cir. </w:t>
      </w:r>
      <w:r>
        <w:rPr>
          <w:rFonts w:cs="Palatino Linotype"/>
        </w:rPr>
        <w:t>2013).</w:t>
      </w:r>
      <w:proofErr w:type="gramEnd"/>
      <w:r>
        <w:rPr>
          <w:rFonts w:cs="Palatino Linotype"/>
        </w:rPr>
        <w:t xml:space="preserve"> The “injuries” complained of </w:t>
      </w:r>
      <w:r>
        <w:t xml:space="preserve">here are clearly sufficient to satisfy the </w:t>
      </w:r>
      <w:r>
        <w:rPr>
          <w:rFonts w:cs="Palatino Linotype"/>
          <w:spacing w:val="-3"/>
        </w:rPr>
        <w:t xml:space="preserve">Constitution’s </w:t>
      </w:r>
      <w:r>
        <w:rPr>
          <w:rFonts w:cs="Palatino Linotype"/>
        </w:rPr>
        <w:t>jurisdictional</w:t>
      </w:r>
      <w:r>
        <w:rPr>
          <w:rFonts w:cs="Palatino Linotype"/>
          <w:spacing w:val="12"/>
        </w:rPr>
        <w:t xml:space="preserve"> </w:t>
      </w:r>
      <w:r>
        <w:rPr>
          <w:rFonts w:cs="Palatino Linotype"/>
        </w:rPr>
        <w:t>prerequisite.</w:t>
      </w:r>
    </w:p>
    <w:p w:rsidR="002A1594" w:rsidRDefault="00073D1D">
      <w:pPr>
        <w:pStyle w:val="BodyText"/>
        <w:spacing w:before="0" w:line="480" w:lineRule="auto"/>
        <w:ind w:right="103" w:firstLine="719"/>
        <w:jc w:val="both"/>
      </w:pPr>
      <w:r>
        <w:t xml:space="preserve">The standing inquiry </w:t>
      </w:r>
      <w:r>
        <w:rPr>
          <w:rFonts w:cs="Palatino Linotype"/>
        </w:rPr>
        <w:t xml:space="preserve">required under Article III “is augmented by consideration of prudential limitations” on the exercise of a federal </w:t>
      </w:r>
      <w:r>
        <w:rPr>
          <w:rFonts w:cs="Palatino Linotype"/>
          <w:spacing w:val="-4"/>
        </w:rPr>
        <w:t xml:space="preserve">court’s </w:t>
      </w:r>
      <w:r>
        <w:rPr>
          <w:rFonts w:cs="Palatino Linotype"/>
        </w:rPr>
        <w:t xml:space="preserve">jurisdiction. </w:t>
      </w:r>
      <w:proofErr w:type="gramStart"/>
      <w:r>
        <w:rPr>
          <w:rFonts w:cs="Palatino Linotype"/>
          <w:i/>
        </w:rPr>
        <w:t xml:space="preserve">City of Pittsburgh </w:t>
      </w:r>
      <w:r>
        <w:rPr>
          <w:rFonts w:cs="Palatino Linotype"/>
          <w:i/>
          <w:spacing w:val="-6"/>
        </w:rPr>
        <w:t xml:space="preserve">v. </w:t>
      </w:r>
      <w:r>
        <w:rPr>
          <w:rFonts w:cs="Palatino Linotype"/>
          <w:i/>
        </w:rPr>
        <w:t>West Penn Power Co.</w:t>
      </w:r>
      <w:r>
        <w:rPr>
          <w:rFonts w:cs="Palatino Linotype"/>
        </w:rPr>
        <w:t xml:space="preserve">, 147 </w:t>
      </w:r>
      <w:r>
        <w:rPr>
          <w:rFonts w:cs="Palatino Linotype"/>
          <w:spacing w:val="-4"/>
        </w:rPr>
        <w:t xml:space="preserve">F.3d </w:t>
      </w:r>
      <w:r>
        <w:rPr>
          <w:rFonts w:cs="Palatino Linotype"/>
        </w:rPr>
        <w:t xml:space="preserve">256, 264 (3d </w:t>
      </w:r>
      <w:r>
        <w:rPr>
          <w:rFonts w:cs="Palatino Linotype"/>
          <w:spacing w:val="-4"/>
        </w:rPr>
        <w:t xml:space="preserve">Cir. </w:t>
      </w:r>
      <w:r>
        <w:rPr>
          <w:rFonts w:cs="Palatino Linotype"/>
        </w:rPr>
        <w:t>1998).</w:t>
      </w:r>
      <w:proofErr w:type="gramEnd"/>
      <w:r>
        <w:rPr>
          <w:rFonts w:cs="Palatino Linotype"/>
        </w:rPr>
        <w:t xml:space="preserve">      </w:t>
      </w:r>
      <w:r>
        <w:rPr>
          <w:rFonts w:cs="Palatino Linotype"/>
          <w:spacing w:val="10"/>
        </w:rPr>
        <w:t xml:space="preserve"> </w:t>
      </w:r>
      <w:proofErr w:type="gramStart"/>
      <w:r>
        <w:rPr>
          <w:rFonts w:cs="Palatino Linotype"/>
          <w:spacing w:val="-2"/>
        </w:rPr>
        <w:t>Th</w:t>
      </w:r>
      <w:r>
        <w:rPr>
          <w:rFonts w:cs="Palatino Linotype"/>
          <w:spacing w:val="-2"/>
        </w:rPr>
        <w:t xml:space="preserve">e  </w:t>
      </w:r>
      <w:r>
        <w:rPr>
          <w:rFonts w:cs="Palatino Linotype"/>
        </w:rPr>
        <w:t>“</w:t>
      </w:r>
      <w:proofErr w:type="gramEnd"/>
      <w:r>
        <w:rPr>
          <w:rFonts w:cs="Palatino Linotype"/>
        </w:rPr>
        <w:t>judicially</w:t>
      </w:r>
      <w:r>
        <w:t>-imposed limits on</w:t>
      </w:r>
    </w:p>
    <w:p w:rsidR="002A1594" w:rsidRDefault="00073D1D">
      <w:pPr>
        <w:pStyle w:val="BodyText"/>
        <w:ind w:left="4371" w:right="4369"/>
        <w:jc w:val="center"/>
      </w:pPr>
      <w:r>
        <w:t>14</w:t>
      </w:r>
    </w:p>
    <w:p w:rsidR="002A1594" w:rsidRDefault="002A1594">
      <w:pPr>
        <w:jc w:val="center"/>
        <w:sectPr w:rsidR="002A1594">
          <w:pgSz w:w="12240" w:h="15840"/>
          <w:pgMar w:top="540" w:right="162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101"/>
        <w:jc w:val="both"/>
      </w:pPr>
      <w:proofErr w:type="gramStart"/>
      <w:r>
        <w:t>th</w:t>
      </w:r>
      <w:r>
        <w:rPr>
          <w:rFonts w:cs="Palatino Linotype"/>
        </w:rPr>
        <w:t>e</w:t>
      </w:r>
      <w:proofErr w:type="gramEnd"/>
      <w:r>
        <w:rPr>
          <w:rFonts w:cs="Palatino Linotype"/>
        </w:rPr>
        <w:t xml:space="preserve"> exercise of federal jurisdiction” include “the general prohibition on a </w:t>
      </w:r>
      <w:r>
        <w:rPr>
          <w:rFonts w:cs="Palatino Linotype"/>
          <w:spacing w:val="-3"/>
        </w:rPr>
        <w:t xml:space="preserve">litigant’s </w:t>
      </w:r>
      <w:r>
        <w:rPr>
          <w:rFonts w:cs="Palatino Linotype"/>
        </w:rPr>
        <w:t xml:space="preserve">raising another </w:t>
      </w:r>
      <w:r>
        <w:rPr>
          <w:rFonts w:cs="Palatino Linotype"/>
          <w:spacing w:val="-4"/>
        </w:rPr>
        <w:t xml:space="preserve">person’s </w:t>
      </w:r>
      <w:r>
        <w:rPr>
          <w:rFonts w:cs="Palatino Linotype"/>
        </w:rPr>
        <w:t xml:space="preserve">legal rights, the rule barring adjudication of generalized grievances more </w:t>
      </w:r>
      <w:r>
        <w:t xml:space="preserve">appropriately addressed in the representative branches, and the requirement that a </w:t>
      </w:r>
      <w:r>
        <w:rPr>
          <w:rFonts w:cs="Palatino Linotype"/>
        </w:rPr>
        <w:t xml:space="preserve">plaintiff’s complaint fall within the zone of interests protected by the law invoked.” </w:t>
      </w:r>
      <w:r>
        <w:rPr>
          <w:rFonts w:cs="Palatino Linotype"/>
          <w:i/>
        </w:rPr>
        <w:t>Allen</w:t>
      </w:r>
      <w:r>
        <w:t>, 468 U.S. at 751. Unlike the jurisdictional limitations inherent in Article III,</w:t>
      </w:r>
      <w:r>
        <w:t xml:space="preserve"> which exist as a matter of constitutional mandate, the prudential limitations on the exercise of federal </w:t>
      </w:r>
      <w:r>
        <w:rPr>
          <w:rFonts w:cs="Palatino Linotype"/>
        </w:rPr>
        <w:t xml:space="preserve">adjudicatory jurisdiction “can be modified or abrogated by Congress.” </w:t>
      </w:r>
      <w:r>
        <w:rPr>
          <w:rFonts w:cs="Palatino Linotype"/>
          <w:i/>
        </w:rPr>
        <w:t xml:space="preserve">Bennett </w:t>
      </w:r>
      <w:r>
        <w:rPr>
          <w:rFonts w:cs="Palatino Linotype"/>
          <w:i/>
          <w:spacing w:val="-6"/>
        </w:rPr>
        <w:t xml:space="preserve">v. </w:t>
      </w:r>
      <w:r>
        <w:rPr>
          <w:rFonts w:cs="Palatino Linotype"/>
          <w:i/>
        </w:rPr>
        <w:t>Spear</w:t>
      </w:r>
      <w:proofErr w:type="gramStart"/>
      <w:r>
        <w:t>,  520</w:t>
      </w:r>
      <w:proofErr w:type="gramEnd"/>
      <w:r>
        <w:t xml:space="preserve"> U.S. 154, 162 (1997). Congress has specifically vested th</w:t>
      </w:r>
      <w:r>
        <w:t xml:space="preserve">e EEOC with the authority to remedy violations of Title I. </w:t>
      </w:r>
      <w:r>
        <w:rPr>
          <w:rFonts w:cs="Palatino Linotype"/>
          <w:i/>
        </w:rPr>
        <w:t xml:space="preserve">See </w:t>
      </w:r>
      <w:r>
        <w:t xml:space="preserve">42 U.S.C. § 12117(a). Unlike a private </w:t>
      </w:r>
      <w:r>
        <w:rPr>
          <w:spacing w:val="-5"/>
        </w:rPr>
        <w:t xml:space="preserve">party, </w:t>
      </w:r>
      <w:r>
        <w:t xml:space="preserve">the United States sustains injuries to its sovereignty from the mere violation of its laws. </w:t>
      </w:r>
      <w:proofErr w:type="gramStart"/>
      <w:r>
        <w:rPr>
          <w:rFonts w:cs="Palatino Linotype"/>
          <w:i/>
          <w:spacing w:val="-4"/>
        </w:rPr>
        <w:t xml:space="preserve">Vermont </w:t>
      </w:r>
      <w:r>
        <w:rPr>
          <w:rFonts w:cs="Palatino Linotype"/>
          <w:i/>
        </w:rPr>
        <w:t xml:space="preserve">Agency of Nat. Res. </w:t>
      </w:r>
      <w:r>
        <w:rPr>
          <w:rFonts w:cs="Palatino Linotype"/>
          <w:i/>
          <w:spacing w:val="-6"/>
        </w:rPr>
        <w:t xml:space="preserve">v. </w:t>
      </w:r>
      <w:r>
        <w:rPr>
          <w:rFonts w:cs="Palatino Linotype"/>
          <w:i/>
        </w:rPr>
        <w:t>United States</w:t>
      </w:r>
      <w:r>
        <w:t>, 529 U.S. 765, 771 (2000).</w:t>
      </w:r>
      <w:proofErr w:type="gramEnd"/>
      <w:r>
        <w:t xml:space="preserve"> It is undisputed that the Defendants violated the ADA more than 300 times. (ECF No. 131 ¶¶ 1-3). Under these circumstances, it is obvious that the EEOC has standing to bring this action to vindicate the statutory rights of the a</w:t>
      </w:r>
      <w:r>
        <w:t>ggrieved</w:t>
      </w:r>
      <w:r>
        <w:rPr>
          <w:spacing w:val="-19"/>
        </w:rPr>
        <w:t xml:space="preserve"> </w:t>
      </w:r>
      <w:r>
        <w:t>individuals.</w:t>
      </w:r>
    </w:p>
    <w:p w:rsidR="002A1594" w:rsidRDefault="002A1594">
      <w:pPr>
        <w:spacing w:before="12"/>
        <w:rPr>
          <w:rFonts w:ascii="Palatino Linotype" w:eastAsia="Palatino Linotype" w:hAnsi="Palatino Linotype" w:cs="Palatino Linotype"/>
          <w:sz w:val="17"/>
          <w:szCs w:val="17"/>
        </w:rPr>
      </w:pPr>
    </w:p>
    <w:p w:rsidR="002A1594" w:rsidRDefault="00073D1D">
      <w:pPr>
        <w:pStyle w:val="Heading3"/>
        <w:numPr>
          <w:ilvl w:val="1"/>
          <w:numId w:val="1"/>
        </w:numPr>
        <w:tabs>
          <w:tab w:val="left" w:pos="1549"/>
        </w:tabs>
        <w:jc w:val="left"/>
        <w:rPr>
          <w:rFonts w:cs="Palatino Linotype"/>
          <w:b w:val="0"/>
          <w:bCs w:val="0"/>
        </w:rPr>
      </w:pPr>
      <w:r>
        <w:rPr>
          <w:rFonts w:cs="Palatino Linotype"/>
        </w:rPr>
        <w:t xml:space="preserve">The Defendants’ Coverage under </w:t>
      </w:r>
      <w:r>
        <w:rPr>
          <w:rFonts w:cs="Palatino Linotype"/>
          <w:spacing w:val="-3"/>
        </w:rPr>
        <w:t>Title</w:t>
      </w:r>
      <w:r>
        <w:rPr>
          <w:rFonts w:cs="Palatino Linotype"/>
          <w:spacing w:val="-1"/>
        </w:rPr>
        <w:t xml:space="preserve"> </w:t>
      </w:r>
      <w:r>
        <w:rPr>
          <w:rFonts w:cs="Palatino Linotype"/>
        </w:rPr>
        <w:t>I</w:t>
      </w:r>
    </w:p>
    <w:p w:rsidR="002A1594" w:rsidRDefault="002A1594">
      <w:pPr>
        <w:spacing w:before="13"/>
        <w:rPr>
          <w:rFonts w:ascii="Palatino Linotype" w:eastAsia="Palatino Linotype" w:hAnsi="Palatino Linotype" w:cs="Palatino Linotype"/>
          <w:b/>
          <w:bCs/>
          <w:sz w:val="21"/>
          <w:szCs w:val="21"/>
        </w:rPr>
      </w:pPr>
    </w:p>
    <w:p w:rsidR="002A1594" w:rsidRDefault="00073D1D">
      <w:pPr>
        <w:pStyle w:val="BodyText"/>
        <w:spacing w:before="0" w:line="480" w:lineRule="auto"/>
        <w:ind w:right="103" w:firstLine="719"/>
        <w:jc w:val="both"/>
        <w:rPr>
          <w:rFonts w:cs="Palatino Linotype"/>
        </w:rPr>
      </w:pPr>
      <w:r>
        <w:t xml:space="preserve">Title </w:t>
      </w:r>
      <w:r>
        <w:rPr>
          <w:rFonts w:cs="Palatino Linotype"/>
          <w:spacing w:val="-9"/>
        </w:rPr>
        <w:t xml:space="preserve">I’s </w:t>
      </w:r>
      <w:r>
        <w:rPr>
          <w:rFonts w:cs="Palatino Linotype"/>
        </w:rPr>
        <w:t xml:space="preserve">prohibitions apply to “covered </w:t>
      </w:r>
      <w:proofErr w:type="gramStart"/>
      <w:r>
        <w:rPr>
          <w:rFonts w:cs="Palatino Linotype"/>
        </w:rPr>
        <w:t>entit[</w:t>
      </w:r>
      <w:proofErr w:type="gramEnd"/>
      <w:r>
        <w:rPr>
          <w:rFonts w:cs="Palatino Linotype"/>
        </w:rPr>
        <w:t xml:space="preserve">ies].” </w:t>
      </w:r>
      <w:proofErr w:type="gramStart"/>
      <w:r>
        <w:rPr>
          <w:rFonts w:cs="Palatino Linotype"/>
        </w:rPr>
        <w:t xml:space="preserve">42 U.S.C. § </w:t>
      </w:r>
      <w:r>
        <w:t>12111(2).</w:t>
      </w:r>
      <w:proofErr w:type="gramEnd"/>
      <w:r>
        <w:t xml:space="preserve"> An </w:t>
      </w:r>
      <w:r>
        <w:rPr>
          <w:rFonts w:cs="Palatino Linotype"/>
        </w:rPr>
        <w:t xml:space="preserve">“employer” </w:t>
      </w:r>
      <w:r>
        <w:t>i</w:t>
      </w:r>
      <w:r>
        <w:rPr>
          <w:rFonts w:cs="Palatino Linotype"/>
        </w:rPr>
        <w:t xml:space="preserve">s a “covered entity” within the meaning of the ADA. </w:t>
      </w:r>
      <w:proofErr w:type="gramStart"/>
      <w:r>
        <w:t>42 U.S.C. § 12111(2).</w:t>
      </w:r>
      <w:proofErr w:type="gramEnd"/>
      <w:r>
        <w:t xml:space="preserve"> </w:t>
      </w:r>
      <w:r>
        <w:rPr>
          <w:rFonts w:cs="Palatino Linotype"/>
        </w:rPr>
        <w:t>The term “employer” is defin</w:t>
      </w:r>
      <w:r>
        <w:rPr>
          <w:rFonts w:cs="Palatino Linotype"/>
        </w:rPr>
        <w:t xml:space="preserve">ed as “a person engaged in an industry affecting commerce </w:t>
      </w:r>
      <w:r>
        <w:t xml:space="preserve">who has 15 or more employees for each working day in each of 20 or more </w:t>
      </w:r>
      <w:proofErr w:type="gramStart"/>
      <w:r>
        <w:t xml:space="preserve">calendar  </w:t>
      </w:r>
      <w:r>
        <w:rPr>
          <w:rFonts w:cs="Palatino Linotype"/>
        </w:rPr>
        <w:t>weeks</w:t>
      </w:r>
      <w:proofErr w:type="gramEnd"/>
      <w:r>
        <w:rPr>
          <w:rFonts w:cs="Palatino Linotype"/>
        </w:rPr>
        <w:t xml:space="preserve"> in the current or preceding calendar </w:t>
      </w:r>
      <w:r>
        <w:rPr>
          <w:rFonts w:cs="Palatino Linotype"/>
          <w:spacing w:val="-4"/>
        </w:rPr>
        <w:t xml:space="preserve">year, </w:t>
      </w:r>
      <w:r>
        <w:rPr>
          <w:rFonts w:cs="Palatino Linotype"/>
        </w:rPr>
        <w:t xml:space="preserve">and any agent of such person . . . .”      </w:t>
      </w:r>
      <w:r>
        <w:rPr>
          <w:rFonts w:cs="Palatino Linotype"/>
          <w:spacing w:val="12"/>
        </w:rPr>
        <w:t xml:space="preserve"> </w:t>
      </w:r>
      <w:r>
        <w:rPr>
          <w:rFonts w:cs="Palatino Linotype"/>
        </w:rPr>
        <w:t>42</w:t>
      </w:r>
    </w:p>
    <w:p w:rsidR="002A1594" w:rsidRDefault="00073D1D">
      <w:pPr>
        <w:pStyle w:val="BodyText"/>
        <w:spacing w:before="1"/>
        <w:jc w:val="both"/>
      </w:pPr>
      <w:r>
        <w:t>U.S.C. § 12111(5</w:t>
      </w:r>
      <w:proofErr w:type="gramStart"/>
      <w:r>
        <w:t>)(</w:t>
      </w:r>
      <w:proofErr w:type="gramEnd"/>
      <w:r>
        <w:t>A)</w:t>
      </w:r>
      <w:r>
        <w:t>.  The EEOC alleges that Grane is liable for violating the ADA</w:t>
      </w:r>
      <w:r>
        <w:rPr>
          <w:spacing w:val="7"/>
        </w:rPr>
        <w:t xml:space="preserve"> </w:t>
      </w:r>
      <w:r>
        <w:t>because</w:t>
      </w:r>
    </w:p>
    <w:p w:rsidR="002A1594" w:rsidRDefault="002A1594">
      <w:pPr>
        <w:rPr>
          <w:rFonts w:ascii="Palatino Linotype" w:eastAsia="Palatino Linotype" w:hAnsi="Palatino Linotype" w:cs="Palatino Linotype"/>
          <w:sz w:val="20"/>
          <w:szCs w:val="20"/>
        </w:rPr>
      </w:pPr>
    </w:p>
    <w:p w:rsidR="002A1594" w:rsidRDefault="002A1594">
      <w:pPr>
        <w:spacing w:before="2"/>
        <w:rPr>
          <w:rFonts w:ascii="Palatino Linotype" w:eastAsia="Palatino Linotype" w:hAnsi="Palatino Linotype" w:cs="Palatino Linotype"/>
          <w:sz w:val="28"/>
          <w:szCs w:val="28"/>
        </w:rPr>
      </w:pPr>
    </w:p>
    <w:p w:rsidR="002A1594" w:rsidRDefault="00073D1D">
      <w:pPr>
        <w:pStyle w:val="BodyText"/>
        <w:ind w:left="4371" w:right="4369"/>
        <w:jc w:val="center"/>
      </w:pPr>
      <w:r>
        <w:t>15</w:t>
      </w:r>
    </w:p>
    <w:p w:rsidR="002A1594" w:rsidRDefault="002A1594">
      <w:pPr>
        <w:jc w:val="center"/>
        <w:sectPr w:rsidR="002A1594">
          <w:pgSz w:w="12240" w:h="15840"/>
          <w:pgMar w:top="540" w:right="162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102"/>
        <w:jc w:val="both"/>
      </w:pPr>
      <w:proofErr w:type="gramStart"/>
      <w:r>
        <w:t>it</w:t>
      </w:r>
      <w:proofErr w:type="gramEnd"/>
      <w:r>
        <w:t xml:space="preserve"> acted as the </w:t>
      </w:r>
      <w:r>
        <w:rPr>
          <w:spacing w:val="-5"/>
        </w:rPr>
        <w:t>C</w:t>
      </w:r>
      <w:r>
        <w:rPr>
          <w:rFonts w:cs="Palatino Linotype"/>
          <w:spacing w:val="-5"/>
        </w:rPr>
        <w:t xml:space="preserve">CC’s </w:t>
      </w:r>
      <w:r>
        <w:rPr>
          <w:rFonts w:cs="Palatino Linotype"/>
        </w:rPr>
        <w:t xml:space="preserve">agent in relation to the hiring process at issue. </w:t>
      </w:r>
      <w:proofErr w:type="gramStart"/>
      <w:r>
        <w:t>(ECF No. 1 ¶ 7).</w:t>
      </w:r>
      <w:proofErr w:type="gramEnd"/>
      <w:r>
        <w:t xml:space="preserve"> It is further alleged that the CCC independently </w:t>
      </w:r>
      <w:r>
        <w:rPr>
          <w:rFonts w:cs="Palatino Linotype"/>
        </w:rPr>
        <w:t xml:space="preserve">qualifies as an “employer” for purposes of </w:t>
      </w:r>
      <w:r>
        <w:t>Title I.</w:t>
      </w:r>
      <w:r>
        <w:rPr>
          <w:position w:val="6"/>
          <w:sz w:val="13"/>
          <w:szCs w:val="13"/>
        </w:rPr>
        <w:t xml:space="preserve">3 </w:t>
      </w:r>
      <w:r>
        <w:t>(</w:t>
      </w:r>
      <w:r>
        <w:rPr>
          <w:rFonts w:cs="Palatino Linotype"/>
          <w:i/>
        </w:rPr>
        <w:t xml:space="preserve">Id. </w:t>
      </w:r>
      <w:r>
        <w:t xml:space="preserve">¶ 8). The Defendants maintain that, during the relevant period, they were not </w:t>
      </w:r>
      <w:r>
        <w:rPr>
          <w:rFonts w:cs="Palatino Linotype"/>
        </w:rPr>
        <w:t xml:space="preserve">“employers” subject to the </w:t>
      </w:r>
      <w:r>
        <w:rPr>
          <w:rFonts w:cs="Palatino Linotype"/>
          <w:spacing w:val="-9"/>
        </w:rPr>
        <w:t xml:space="preserve">ADA’s </w:t>
      </w:r>
      <w:r>
        <w:rPr>
          <w:rFonts w:cs="Palatino Linotype"/>
        </w:rPr>
        <w:t>prohibitions.</w:t>
      </w:r>
      <w:r>
        <w:rPr>
          <w:position w:val="6"/>
          <w:sz w:val="13"/>
          <w:szCs w:val="13"/>
        </w:rPr>
        <w:t xml:space="preserve">4   </w:t>
      </w:r>
      <w:r>
        <w:t>(ECF No. 111 at 5-8).</w:t>
      </w:r>
    </w:p>
    <w:p w:rsidR="002A1594" w:rsidRDefault="00073D1D">
      <w:pPr>
        <w:pStyle w:val="BodyText"/>
        <w:spacing w:before="0" w:line="480" w:lineRule="auto"/>
        <w:ind w:right="101" w:firstLine="719"/>
        <w:jc w:val="both"/>
      </w:pPr>
      <w:r>
        <w:rPr>
          <w:rFonts w:cs="Palatino Linotype"/>
        </w:rPr>
        <w:t xml:space="preserve">Oddo testified that Grane had acted as the </w:t>
      </w:r>
      <w:r>
        <w:rPr>
          <w:rFonts w:cs="Palatino Linotype"/>
          <w:spacing w:val="-6"/>
        </w:rPr>
        <w:t xml:space="preserve">CCC’s </w:t>
      </w:r>
      <w:r>
        <w:rPr>
          <w:rFonts w:cs="Palatino Linotype"/>
        </w:rPr>
        <w:t xml:space="preserve">“managing agent” during the </w:t>
      </w:r>
      <w:r>
        <w:t xml:space="preserve">period falling between the acquisition and the opening of the </w:t>
      </w:r>
      <w:r>
        <w:rPr>
          <w:spacing w:val="-3"/>
        </w:rPr>
        <w:t xml:space="preserve">facility.  </w:t>
      </w:r>
      <w:r>
        <w:t xml:space="preserve">(ECF No. 133-3 </w:t>
      </w:r>
      <w:proofErr w:type="gramStart"/>
      <w:r>
        <w:t>at  4</w:t>
      </w:r>
      <w:proofErr w:type="gramEnd"/>
      <w:r>
        <w:t xml:space="preserve">). </w:t>
      </w:r>
      <w:r>
        <w:rPr>
          <w:rFonts w:cs="Palatino Linotype"/>
        </w:rPr>
        <w:t xml:space="preserve">The parties agree that Grane, in its capacity as an “agent,” was “responsible for recruiting and selecting” the </w:t>
      </w:r>
      <w:r>
        <w:rPr>
          <w:rFonts w:cs="Palatino Linotype"/>
          <w:spacing w:val="-6"/>
        </w:rPr>
        <w:t xml:space="preserve">CCC’s </w:t>
      </w:r>
      <w:r>
        <w:rPr>
          <w:rFonts w:cs="Palatino Linotype"/>
        </w:rPr>
        <w:t>“initial</w:t>
      </w:r>
      <w:r>
        <w:rPr>
          <w:rFonts w:cs="Palatino Linotype"/>
        </w:rPr>
        <w:t xml:space="preserve"> complement of employees.”   </w:t>
      </w:r>
      <w:r>
        <w:t xml:space="preserve">(ECF No. 131  </w:t>
      </w:r>
      <w:r>
        <w:rPr>
          <w:spacing w:val="47"/>
        </w:rPr>
        <w:t xml:space="preserve"> </w:t>
      </w:r>
      <w:r>
        <w:t>at</w:t>
      </w:r>
    </w:p>
    <w:p w:rsidR="002A1594" w:rsidRDefault="00073D1D">
      <w:pPr>
        <w:pStyle w:val="BodyText"/>
        <w:spacing w:before="1" w:line="480" w:lineRule="auto"/>
        <w:ind w:right="102"/>
        <w:jc w:val="both"/>
      </w:pPr>
      <w:proofErr w:type="gramStart"/>
      <w:r>
        <w:t>¶¶ 5-6).</w:t>
      </w:r>
      <w:proofErr w:type="gramEnd"/>
      <w:r>
        <w:t xml:space="preserve"> It is undisputed that Grane independently employed enough people to </w:t>
      </w:r>
      <w:proofErr w:type="gramStart"/>
      <w:r>
        <w:t>qualify  for</w:t>
      </w:r>
      <w:proofErr w:type="gramEnd"/>
      <w:r>
        <w:t xml:space="preserve"> coverage under Title I.  </w:t>
      </w:r>
      <w:proofErr w:type="gramStart"/>
      <w:r>
        <w:t>(ECF No. 131 ¶ 4).</w:t>
      </w:r>
      <w:proofErr w:type="gramEnd"/>
      <w:r>
        <w:t xml:space="preserve">  </w:t>
      </w:r>
      <w:r>
        <w:rPr>
          <w:spacing w:val="-2"/>
        </w:rPr>
        <w:t xml:space="preserve">The </w:t>
      </w:r>
      <w:r>
        <w:t xml:space="preserve">EEOC argues that Grane is amenable   </w:t>
      </w:r>
      <w:r>
        <w:rPr>
          <w:rFonts w:cs="Palatino Linotype"/>
        </w:rPr>
        <w:t xml:space="preserve">to suit under the ADA because of </w:t>
      </w:r>
      <w:r>
        <w:rPr>
          <w:rFonts w:cs="Palatino Linotype"/>
        </w:rPr>
        <w:t xml:space="preserve">its status as the </w:t>
      </w:r>
      <w:r>
        <w:rPr>
          <w:rFonts w:cs="Palatino Linotype"/>
          <w:spacing w:val="-6"/>
        </w:rPr>
        <w:t xml:space="preserve">CCC’s </w:t>
      </w:r>
      <w:r>
        <w:rPr>
          <w:rFonts w:cs="Palatino Linotype"/>
        </w:rPr>
        <w:t xml:space="preserve">agent. </w:t>
      </w:r>
      <w:r>
        <w:t xml:space="preserve">(ECF No. 96 at 7-8). </w:t>
      </w:r>
      <w:r>
        <w:rPr>
          <w:spacing w:val="-2"/>
        </w:rPr>
        <w:t xml:space="preserve">The </w:t>
      </w:r>
      <w:r>
        <w:t xml:space="preserve">Defendants contend that since the CCC did not open until January 1, 2010, it </w:t>
      </w:r>
      <w:r>
        <w:rPr>
          <w:spacing w:val="-3"/>
        </w:rPr>
        <w:t xml:space="preserve">was </w:t>
      </w:r>
      <w:r>
        <w:t xml:space="preserve">not an </w:t>
      </w:r>
      <w:r>
        <w:rPr>
          <w:rFonts w:cs="Palatino Linotype"/>
        </w:rPr>
        <w:t xml:space="preserve">“employer” </w:t>
      </w:r>
      <w:r>
        <w:t>during the course of the preceding hiring process. (ECF No. 111 at 5-8). They further</w:t>
      </w:r>
      <w:r>
        <w:rPr>
          <w:spacing w:val="24"/>
        </w:rPr>
        <w:t xml:space="preserve"> </w:t>
      </w:r>
      <w:r>
        <w:t>assert</w:t>
      </w:r>
      <w:r>
        <w:rPr>
          <w:spacing w:val="21"/>
        </w:rPr>
        <w:t xml:space="preserve"> </w:t>
      </w:r>
      <w:r>
        <w:t>that</w:t>
      </w:r>
      <w:r>
        <w:rPr>
          <w:spacing w:val="23"/>
        </w:rPr>
        <w:t xml:space="preserve"> </w:t>
      </w:r>
      <w:r>
        <w:t>Grane</w:t>
      </w:r>
      <w:r>
        <w:rPr>
          <w:spacing w:val="23"/>
        </w:rPr>
        <w:t xml:space="preserve"> </w:t>
      </w:r>
      <w:r>
        <w:t>cannot</w:t>
      </w:r>
      <w:r>
        <w:rPr>
          <w:spacing w:val="21"/>
        </w:rPr>
        <w:t xml:space="preserve"> </w:t>
      </w:r>
      <w:r>
        <w:t>be</w:t>
      </w:r>
      <w:r>
        <w:rPr>
          <w:spacing w:val="23"/>
        </w:rPr>
        <w:t xml:space="preserve"> </w:t>
      </w:r>
      <w:r>
        <w:t>held</w:t>
      </w:r>
      <w:r>
        <w:rPr>
          <w:spacing w:val="23"/>
        </w:rPr>
        <w:t xml:space="preserve"> </w:t>
      </w:r>
      <w:r>
        <w:t>liable</w:t>
      </w:r>
      <w:r>
        <w:rPr>
          <w:spacing w:val="21"/>
        </w:rPr>
        <w:t xml:space="preserve"> </w:t>
      </w:r>
      <w:r>
        <w:t>under</w:t>
      </w:r>
      <w:r>
        <w:rPr>
          <w:spacing w:val="22"/>
        </w:rPr>
        <w:t xml:space="preserve"> </w:t>
      </w:r>
      <w:r>
        <w:t>the</w:t>
      </w:r>
      <w:r>
        <w:rPr>
          <w:spacing w:val="23"/>
        </w:rPr>
        <w:t xml:space="preserve"> </w:t>
      </w:r>
      <w:r>
        <w:t>present</w:t>
      </w:r>
      <w:r>
        <w:rPr>
          <w:spacing w:val="23"/>
        </w:rPr>
        <w:t xml:space="preserve"> </w:t>
      </w:r>
      <w:r>
        <w:t>circumstances,</w:t>
      </w:r>
      <w:r>
        <w:rPr>
          <w:spacing w:val="23"/>
        </w:rPr>
        <w:t xml:space="preserve"> </w:t>
      </w:r>
      <w:r>
        <w:t>since</w:t>
      </w:r>
      <w:r>
        <w:rPr>
          <w:spacing w:val="25"/>
        </w:rPr>
        <w:t xml:space="preserve"> </w:t>
      </w:r>
      <w:r>
        <w:t>it</w:t>
      </w:r>
    </w:p>
    <w:p w:rsidR="002A1594" w:rsidRDefault="002A1594">
      <w:pPr>
        <w:rPr>
          <w:rFonts w:ascii="Palatino Linotype" w:eastAsia="Palatino Linotype" w:hAnsi="Palatino Linotype" w:cs="Palatino Linotype"/>
          <w:sz w:val="20"/>
          <w:szCs w:val="20"/>
        </w:rPr>
      </w:pPr>
    </w:p>
    <w:p w:rsidR="002A1594" w:rsidRDefault="002A1594">
      <w:pPr>
        <w:spacing w:before="13"/>
        <w:rPr>
          <w:rFonts w:ascii="Palatino Linotype" w:eastAsia="Palatino Linotype" w:hAnsi="Palatino Linotype" w:cs="Palatino Linotype"/>
          <w:sz w:val="29"/>
          <w:szCs w:val="29"/>
        </w:rPr>
      </w:pPr>
    </w:p>
    <w:p w:rsidR="002A1594" w:rsidRDefault="00073D1D">
      <w:pPr>
        <w:spacing w:line="20" w:lineRule="exact"/>
        <w:ind w:left="102"/>
        <w:rPr>
          <w:rFonts w:ascii="Palatino Linotype" w:eastAsia="Palatino Linotype" w:hAnsi="Palatino Linotype" w:cs="Palatino Linotype"/>
          <w:sz w:val="2"/>
          <w:szCs w:val="2"/>
        </w:rPr>
      </w:pPr>
      <w:r>
        <w:rPr>
          <w:rFonts w:ascii="Palatino Linotype" w:eastAsia="Palatino Linotype" w:hAnsi="Palatino Linotype" w:cs="Palatino Linotype"/>
          <w:sz w:val="2"/>
          <w:szCs w:val="2"/>
        </w:rPr>
      </w:r>
      <w:r>
        <w:rPr>
          <w:rFonts w:ascii="Palatino Linotype" w:eastAsia="Palatino Linotype" w:hAnsi="Palatino Linotype" w:cs="Palatino Linotype"/>
          <w:sz w:val="2"/>
          <w:szCs w:val="2"/>
        </w:rPr>
        <w:pict>
          <v:group id="_x0000_s1067" style="width:144.65pt;height:.6pt;mso-position-horizontal-relative:char;mso-position-vertical-relative:line" coordsize="2893,12">
            <v:group id="_x0000_s1068" style="position:absolute;left:6;top:6;width:2881;height:2" coordorigin="6,6" coordsize="2881,2">
              <v:shape id="_x0000_s1069" style="position:absolute;left:6;top:6;width:2881;height:2" coordorigin="6,6" coordsize="2881,0" path="m6,6r2880,e" filled="f" strokeweight=".6pt">
                <v:path arrowok="t"/>
              </v:shape>
            </v:group>
            <w10:wrap type="none"/>
            <w10:anchorlock/>
          </v:group>
        </w:pict>
      </w:r>
    </w:p>
    <w:p w:rsidR="002A1594" w:rsidRDefault="002A1594">
      <w:pPr>
        <w:spacing w:before="2"/>
        <w:rPr>
          <w:rFonts w:ascii="Palatino Linotype" w:eastAsia="Palatino Linotype" w:hAnsi="Palatino Linotype" w:cs="Palatino Linotype"/>
          <w:sz w:val="5"/>
          <w:szCs w:val="5"/>
        </w:rPr>
      </w:pPr>
    </w:p>
    <w:p w:rsidR="002A1594" w:rsidRDefault="00073D1D">
      <w:pPr>
        <w:spacing w:before="33"/>
        <w:ind w:left="108" w:right="101"/>
        <w:jc w:val="both"/>
        <w:rPr>
          <w:rFonts w:ascii="Palatino Linotype" w:eastAsia="Palatino Linotype" w:hAnsi="Palatino Linotype" w:cs="Palatino Linotype"/>
          <w:sz w:val="21"/>
          <w:szCs w:val="21"/>
        </w:rPr>
      </w:pPr>
      <w:r>
        <w:rPr>
          <w:rFonts w:ascii="Palatino Linotype" w:eastAsia="Palatino Linotype" w:hAnsi="Palatino Linotype" w:cs="Palatino Linotype"/>
          <w:position w:val="6"/>
          <w:sz w:val="13"/>
          <w:szCs w:val="13"/>
        </w:rPr>
        <w:t xml:space="preserve">3 </w:t>
      </w:r>
      <w:r>
        <w:rPr>
          <w:rFonts w:ascii="Palatino Linotype" w:eastAsia="Palatino Linotype" w:hAnsi="Palatino Linotype" w:cs="Palatino Linotype"/>
          <w:sz w:val="21"/>
          <w:szCs w:val="21"/>
        </w:rPr>
        <w:t xml:space="preserve">The EEOC has named the ECC, which does business under the fictitious name of the </w:t>
      </w:r>
      <w:r>
        <w:rPr>
          <w:rFonts w:ascii="Palatino Linotype" w:eastAsia="Palatino Linotype" w:hAnsi="Palatino Linotype" w:cs="Palatino Linotype"/>
          <w:sz w:val="21"/>
          <w:szCs w:val="21"/>
        </w:rPr>
        <w:t xml:space="preserve">“Cambria Care Center,” as a defendant in this action. </w:t>
      </w:r>
      <w:proofErr w:type="gramStart"/>
      <w:r>
        <w:rPr>
          <w:rFonts w:ascii="Palatino Linotype" w:eastAsia="Palatino Linotype" w:hAnsi="Palatino Linotype" w:cs="Palatino Linotype"/>
          <w:sz w:val="21"/>
          <w:szCs w:val="21"/>
        </w:rPr>
        <w:t>(ECF No. 1 ¶ 8).</w:t>
      </w:r>
      <w:proofErr w:type="gramEnd"/>
      <w:r>
        <w:rPr>
          <w:rFonts w:ascii="Palatino Linotype" w:eastAsia="Palatino Linotype" w:hAnsi="Palatino Linotype" w:cs="Palatino Linotype"/>
          <w:sz w:val="21"/>
          <w:szCs w:val="21"/>
        </w:rPr>
        <w:t xml:space="preserve"> For the sake of clarity, the Court will refer to the prospective employer as the CCC, since that is where the LCNRC employees were seeking</w:t>
      </w:r>
      <w:r>
        <w:rPr>
          <w:rFonts w:ascii="Palatino Linotype" w:eastAsia="Palatino Linotype" w:hAnsi="Palatino Linotype" w:cs="Palatino Linotype"/>
          <w:spacing w:val="-10"/>
          <w:sz w:val="21"/>
          <w:szCs w:val="21"/>
        </w:rPr>
        <w:t xml:space="preserve"> </w:t>
      </w:r>
      <w:r>
        <w:rPr>
          <w:rFonts w:ascii="Palatino Linotype" w:eastAsia="Palatino Linotype" w:hAnsi="Palatino Linotype" w:cs="Palatino Linotype"/>
          <w:sz w:val="21"/>
          <w:szCs w:val="21"/>
        </w:rPr>
        <w:t>employment.</w:t>
      </w:r>
    </w:p>
    <w:p w:rsidR="002A1594" w:rsidRDefault="002A1594">
      <w:pPr>
        <w:rPr>
          <w:rFonts w:ascii="Palatino Linotype" w:eastAsia="Palatino Linotype" w:hAnsi="Palatino Linotype" w:cs="Palatino Linotype"/>
          <w:sz w:val="21"/>
          <w:szCs w:val="21"/>
        </w:rPr>
      </w:pPr>
    </w:p>
    <w:p w:rsidR="002A1594" w:rsidRDefault="00073D1D">
      <w:pPr>
        <w:ind w:left="108" w:right="101"/>
        <w:jc w:val="both"/>
        <w:rPr>
          <w:rFonts w:ascii="Palatino Linotype" w:eastAsia="Palatino Linotype" w:hAnsi="Palatino Linotype" w:cs="Palatino Linotype"/>
          <w:sz w:val="21"/>
          <w:szCs w:val="21"/>
        </w:rPr>
      </w:pPr>
      <w:r>
        <w:rPr>
          <w:rFonts w:ascii="Palatino Linotype" w:eastAsia="Palatino Linotype" w:hAnsi="Palatino Linotype" w:cs="Palatino Linotype"/>
          <w:position w:val="6"/>
          <w:sz w:val="13"/>
          <w:szCs w:val="13"/>
        </w:rPr>
        <w:t xml:space="preserve">4 </w:t>
      </w:r>
      <w:r>
        <w:rPr>
          <w:rFonts w:ascii="Palatino Linotype" w:eastAsia="Palatino Linotype" w:hAnsi="Palatino Linotype" w:cs="Palatino Linotype"/>
          <w:sz w:val="21"/>
          <w:szCs w:val="21"/>
        </w:rPr>
        <w:t>The Defendants previously sough</w:t>
      </w:r>
      <w:r>
        <w:rPr>
          <w:rFonts w:ascii="Palatino Linotype" w:eastAsia="Palatino Linotype" w:hAnsi="Palatino Linotype" w:cs="Palatino Linotype"/>
          <w:sz w:val="21"/>
          <w:szCs w:val="21"/>
        </w:rPr>
        <w:t xml:space="preserve">t leave to move for the dismissal of the claims asserted against the CCC in a supplemental motion for summary judgment, contending that the CCC had not been an “employer” at the time of the statutory violations alleged in the complaint. (ECF No. 113). The </w:t>
      </w:r>
      <w:r>
        <w:rPr>
          <w:rFonts w:ascii="Palatino Linotype" w:eastAsia="Palatino Linotype" w:hAnsi="Palatino Linotype" w:cs="Palatino Linotype"/>
          <w:sz w:val="21"/>
          <w:szCs w:val="21"/>
        </w:rPr>
        <w:t xml:space="preserve">request for leave to file a supplemental motion for summary </w:t>
      </w:r>
      <w:proofErr w:type="gramStart"/>
      <w:r>
        <w:rPr>
          <w:rFonts w:ascii="Palatino Linotype" w:eastAsia="Palatino Linotype" w:hAnsi="Palatino Linotype" w:cs="Palatino Linotype"/>
          <w:sz w:val="21"/>
          <w:szCs w:val="21"/>
        </w:rPr>
        <w:t>judgment  was</w:t>
      </w:r>
      <w:proofErr w:type="gramEnd"/>
      <w:r>
        <w:rPr>
          <w:rFonts w:ascii="Palatino Linotype" w:eastAsia="Palatino Linotype" w:hAnsi="Palatino Linotype" w:cs="Palatino Linotype"/>
          <w:sz w:val="21"/>
          <w:szCs w:val="21"/>
        </w:rPr>
        <w:t xml:space="preserve"> denied on August 23, 2013. (ECF No. 128). At this time, the Court will address the issues concerning the Defendants’ coverage under the </w:t>
      </w:r>
      <w:r>
        <w:rPr>
          <w:rFonts w:ascii="Palatino Linotype" w:eastAsia="Palatino Linotype" w:hAnsi="Palatino Linotype" w:cs="Palatino Linotype"/>
          <w:spacing w:val="-3"/>
          <w:sz w:val="21"/>
          <w:szCs w:val="21"/>
        </w:rPr>
        <w:t xml:space="preserve">ADA </w:t>
      </w:r>
      <w:r>
        <w:rPr>
          <w:rFonts w:ascii="Palatino Linotype" w:eastAsia="Palatino Linotype" w:hAnsi="Palatino Linotype" w:cs="Palatino Linotype"/>
          <w:sz w:val="21"/>
          <w:szCs w:val="21"/>
        </w:rPr>
        <w:t>only to the extent that they relate to the</w:t>
      </w:r>
      <w:r>
        <w:rPr>
          <w:rFonts w:ascii="Palatino Linotype" w:eastAsia="Palatino Linotype" w:hAnsi="Palatino Linotype" w:cs="Palatino Linotype"/>
          <w:sz w:val="21"/>
          <w:szCs w:val="21"/>
        </w:rPr>
        <w:t xml:space="preserve"> EEOC’s motion for partial summary judgment. (ECF No. 96 at 6-10; ECF No. 111 at 5-8; ECF No. 129 at</w:t>
      </w:r>
      <w:r>
        <w:rPr>
          <w:rFonts w:ascii="Palatino Linotype" w:eastAsia="Palatino Linotype" w:hAnsi="Palatino Linotype" w:cs="Palatino Linotype"/>
          <w:spacing w:val="-3"/>
          <w:sz w:val="21"/>
          <w:szCs w:val="21"/>
        </w:rPr>
        <w:t xml:space="preserve"> </w:t>
      </w:r>
      <w:r>
        <w:rPr>
          <w:rFonts w:ascii="Palatino Linotype" w:eastAsia="Palatino Linotype" w:hAnsi="Palatino Linotype" w:cs="Palatino Linotype"/>
          <w:sz w:val="21"/>
          <w:szCs w:val="21"/>
        </w:rPr>
        <w:t>4-11).</w:t>
      </w:r>
    </w:p>
    <w:p w:rsidR="002A1594" w:rsidRDefault="002A1594">
      <w:pPr>
        <w:spacing w:before="12"/>
        <w:rPr>
          <w:rFonts w:ascii="Palatino Linotype" w:eastAsia="Palatino Linotype" w:hAnsi="Palatino Linotype" w:cs="Palatino Linotype"/>
          <w:sz w:val="19"/>
          <w:szCs w:val="19"/>
        </w:rPr>
      </w:pPr>
    </w:p>
    <w:p w:rsidR="002A1594" w:rsidRDefault="00073D1D">
      <w:pPr>
        <w:pStyle w:val="BodyText"/>
        <w:ind w:left="4371" w:right="4369"/>
        <w:jc w:val="center"/>
      </w:pPr>
      <w:r>
        <w:t>16</w:t>
      </w:r>
    </w:p>
    <w:p w:rsidR="002A1594" w:rsidRDefault="002A1594">
      <w:pPr>
        <w:jc w:val="center"/>
        <w:sectPr w:rsidR="002A1594">
          <w:pgSz w:w="12240" w:h="15840"/>
          <w:pgMar w:top="540" w:right="162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102"/>
        <w:jc w:val="both"/>
        <w:rPr>
          <w:rFonts w:cs="Palatino Linotype"/>
        </w:rPr>
      </w:pPr>
      <w:proofErr w:type="gramStart"/>
      <w:r>
        <w:rPr>
          <w:rFonts w:cs="Palatino Linotype"/>
        </w:rPr>
        <w:t>was</w:t>
      </w:r>
      <w:proofErr w:type="gramEnd"/>
      <w:r>
        <w:rPr>
          <w:rFonts w:cs="Palatino Linotype"/>
        </w:rPr>
        <w:t xml:space="preserve"> neither an agent of an “employer” nor a “joint employer” during the </w:t>
      </w:r>
      <w:r>
        <w:t>relevant period of time.</w:t>
      </w:r>
      <w:r>
        <w:rPr>
          <w:spacing w:val="54"/>
        </w:rPr>
        <w:t xml:space="preserve"> </w:t>
      </w:r>
      <w:r>
        <w:rPr>
          <w:rFonts w:cs="Palatino Linotype"/>
          <w:i/>
        </w:rPr>
        <w:t>Id.</w:t>
      </w:r>
    </w:p>
    <w:p w:rsidR="002A1594" w:rsidRDefault="00073D1D">
      <w:pPr>
        <w:pStyle w:val="BodyText"/>
        <w:spacing w:before="1" w:line="480" w:lineRule="auto"/>
        <w:ind w:right="101" w:firstLine="719"/>
        <w:jc w:val="both"/>
      </w:pPr>
      <w:r>
        <w:rPr>
          <w:rFonts w:cs="Palatino Linotype"/>
        </w:rPr>
        <w:t xml:space="preserve">The EEOC reads Title </w:t>
      </w:r>
      <w:r>
        <w:rPr>
          <w:rFonts w:cs="Palatino Linotype"/>
          <w:spacing w:val="-8"/>
        </w:rPr>
        <w:t xml:space="preserve">I’s </w:t>
      </w:r>
      <w:r>
        <w:rPr>
          <w:rFonts w:cs="Palatino Linotype"/>
        </w:rPr>
        <w:t xml:space="preserve">definition of the term “employer” to render an “agent” </w:t>
      </w:r>
      <w:r>
        <w:t xml:space="preserve">liable for its own discriminatory conduct. (ECF No. 96 at 7-8). </w:t>
      </w:r>
      <w:r>
        <w:rPr>
          <w:spacing w:val="-2"/>
        </w:rPr>
        <w:t xml:space="preserve">The </w:t>
      </w:r>
      <w:r>
        <w:t xml:space="preserve">statute could be understood to operate in this </w:t>
      </w:r>
      <w:r>
        <w:rPr>
          <w:spacing w:val="-3"/>
        </w:rPr>
        <w:t>mann</w:t>
      </w:r>
      <w:r>
        <w:rPr>
          <w:rFonts w:cs="Palatino Linotype"/>
          <w:spacing w:val="-3"/>
        </w:rPr>
        <w:t xml:space="preserve">er. </w:t>
      </w:r>
      <w:r>
        <w:rPr>
          <w:rFonts w:cs="Palatino Linotype"/>
        </w:rPr>
        <w:t xml:space="preserve">Nevertheless, the </w:t>
      </w:r>
      <w:r>
        <w:rPr>
          <w:rFonts w:cs="Palatino Linotype"/>
          <w:spacing w:val="-9"/>
        </w:rPr>
        <w:t xml:space="preserve">ADA’s </w:t>
      </w:r>
      <w:r>
        <w:rPr>
          <w:rFonts w:cs="Palatino Linotype"/>
        </w:rPr>
        <w:t xml:space="preserve">use of the word “agent” </w:t>
      </w:r>
      <w:r>
        <w:t>has more frequently been invok</w:t>
      </w:r>
      <w:r>
        <w:t xml:space="preserve">ed to determine </w:t>
      </w:r>
      <w:r>
        <w:rPr>
          <w:rFonts w:cs="Palatino Linotype"/>
        </w:rPr>
        <w:t xml:space="preserve">the extent of a covered employer’s </w:t>
      </w:r>
      <w:r>
        <w:t xml:space="preserve">liability for the misconduct of its employees. </w:t>
      </w:r>
      <w:r>
        <w:rPr>
          <w:rFonts w:cs="Palatino Linotype"/>
          <w:i/>
        </w:rPr>
        <w:t xml:space="preserve">Roman-Oliveras </w:t>
      </w:r>
      <w:r>
        <w:rPr>
          <w:rFonts w:cs="Palatino Linotype"/>
          <w:i/>
          <w:spacing w:val="-6"/>
        </w:rPr>
        <w:t xml:space="preserve">v. </w:t>
      </w:r>
      <w:r>
        <w:rPr>
          <w:rFonts w:cs="Palatino Linotype"/>
          <w:i/>
        </w:rPr>
        <w:t>Puerto Rico Electric Power Auth.</w:t>
      </w:r>
      <w:r>
        <w:t xml:space="preserve">, </w:t>
      </w:r>
      <w:proofErr w:type="gramStart"/>
      <w:r>
        <w:t xml:space="preserve">655 </w:t>
      </w:r>
      <w:r>
        <w:rPr>
          <w:spacing w:val="-4"/>
        </w:rPr>
        <w:t xml:space="preserve">F.3d </w:t>
      </w:r>
      <w:r>
        <w:t xml:space="preserve">43, 50-52 (1st </w:t>
      </w:r>
      <w:r>
        <w:rPr>
          <w:spacing w:val="-4"/>
        </w:rPr>
        <w:t xml:space="preserve">Cir. </w:t>
      </w:r>
      <w:r>
        <w:t>2011)</w:t>
      </w:r>
      <w:proofErr w:type="gramEnd"/>
      <w:r>
        <w:t xml:space="preserve">. </w:t>
      </w:r>
      <w:r>
        <w:rPr>
          <w:rFonts w:cs="Palatino Linotype"/>
        </w:rPr>
        <w:t>Title VII of the Civil Rights Act of 1964 (“</w:t>
      </w:r>
      <w:proofErr w:type="gramStart"/>
      <w:r>
        <w:rPr>
          <w:rFonts w:cs="Palatino Linotype"/>
        </w:rPr>
        <w:t>Title  VII</w:t>
      </w:r>
      <w:proofErr w:type="gramEnd"/>
      <w:r>
        <w:rPr>
          <w:rFonts w:cs="Palatino Linotype"/>
        </w:rPr>
        <w:t xml:space="preserve">”) [42 U.S.C. § </w:t>
      </w:r>
      <w:r>
        <w:rPr>
          <w:rFonts w:cs="Palatino Linotype"/>
        </w:rPr>
        <w:t xml:space="preserve">2000e </w:t>
      </w:r>
      <w:r>
        <w:rPr>
          <w:rFonts w:cs="Palatino Linotype"/>
          <w:i/>
        </w:rPr>
        <w:t>et seq.</w:t>
      </w:r>
      <w:r>
        <w:rPr>
          <w:rFonts w:cs="Palatino Linotype"/>
        </w:rPr>
        <w:t xml:space="preserve">] defines the term “employer” in the same way as Title I of </w:t>
      </w:r>
      <w:r>
        <w:t xml:space="preserve">the ADA. 42 U.S.C. §§ </w:t>
      </w:r>
      <w:proofErr w:type="gramStart"/>
      <w:r>
        <w:t>2000e(</w:t>
      </w:r>
      <w:proofErr w:type="gramEnd"/>
      <w:r>
        <w:t xml:space="preserve">b), 12111(5)(A). In a series </w:t>
      </w:r>
      <w:proofErr w:type="gramStart"/>
      <w:r>
        <w:t>of  decisions</w:t>
      </w:r>
      <w:proofErr w:type="gramEnd"/>
      <w:r>
        <w:t xml:space="preserve"> interpreting Title  </w:t>
      </w:r>
      <w:r>
        <w:rPr>
          <w:rFonts w:cs="Palatino Linotype"/>
          <w:spacing w:val="-5"/>
        </w:rPr>
        <w:t xml:space="preserve">VII’s </w:t>
      </w:r>
      <w:r>
        <w:rPr>
          <w:rFonts w:cs="Palatino Linotype"/>
        </w:rPr>
        <w:t>statutory definition, the Supreme Court has consistently construed the word “agent” to</w:t>
      </w:r>
      <w:r>
        <w:rPr>
          <w:rFonts w:cs="Palatino Linotype"/>
        </w:rPr>
        <w:t xml:space="preserve"> mean that a traditional employer’s liability for the actions of its </w:t>
      </w:r>
      <w:r>
        <w:rPr>
          <w:rFonts w:cs="Palatino Linotype"/>
          <w:i/>
        </w:rPr>
        <w:t xml:space="preserve">employees </w:t>
      </w:r>
      <w:r>
        <w:t>(</w:t>
      </w:r>
      <w:r>
        <w:rPr>
          <w:rFonts w:cs="Palatino Linotype"/>
          <w:i/>
        </w:rPr>
        <w:t>i.e.</w:t>
      </w:r>
      <w:r>
        <w:t xml:space="preserve">, its </w:t>
      </w:r>
      <w:r>
        <w:rPr>
          <w:rFonts w:cs="Palatino Linotype"/>
        </w:rPr>
        <w:t xml:space="preserve">“agents”) must be determined in accordance with </w:t>
      </w:r>
      <w:r>
        <w:t xml:space="preserve">agency law principles. </w:t>
      </w:r>
      <w:proofErr w:type="gramStart"/>
      <w:r>
        <w:rPr>
          <w:rFonts w:cs="Palatino Linotype"/>
          <w:i/>
        </w:rPr>
        <w:t>Pennsylvania  State</w:t>
      </w:r>
      <w:proofErr w:type="gramEnd"/>
      <w:r>
        <w:rPr>
          <w:rFonts w:cs="Palatino Linotype"/>
          <w:i/>
        </w:rPr>
        <w:t xml:space="preserve"> Police </w:t>
      </w:r>
      <w:r>
        <w:rPr>
          <w:rFonts w:cs="Palatino Linotype"/>
          <w:i/>
          <w:spacing w:val="-6"/>
        </w:rPr>
        <w:t xml:space="preserve">v. </w:t>
      </w:r>
      <w:r>
        <w:rPr>
          <w:rFonts w:cs="Palatino Linotype"/>
          <w:i/>
        </w:rPr>
        <w:t>Suders</w:t>
      </w:r>
      <w:r>
        <w:t xml:space="preserve">, 542 U.S. 129, 144 (2004); </w:t>
      </w:r>
      <w:r>
        <w:rPr>
          <w:rFonts w:cs="Palatino Linotype"/>
          <w:i/>
        </w:rPr>
        <w:t xml:space="preserve">Burlington Indus., Inc. </w:t>
      </w:r>
      <w:r>
        <w:rPr>
          <w:rFonts w:cs="Palatino Linotype"/>
          <w:i/>
          <w:spacing w:val="-6"/>
        </w:rPr>
        <w:t xml:space="preserve">v. </w:t>
      </w:r>
      <w:r>
        <w:rPr>
          <w:rFonts w:cs="Palatino Linotype"/>
          <w:i/>
        </w:rPr>
        <w:t>Elle</w:t>
      </w:r>
      <w:r>
        <w:rPr>
          <w:rFonts w:cs="Palatino Linotype"/>
          <w:i/>
        </w:rPr>
        <w:t>rth</w:t>
      </w:r>
      <w:r>
        <w:t xml:space="preserve">, 524 U.S.  </w:t>
      </w:r>
      <w:r>
        <w:rPr>
          <w:spacing w:val="5"/>
        </w:rPr>
        <w:t xml:space="preserve"> </w:t>
      </w:r>
      <w:r>
        <w:t>742,</w:t>
      </w:r>
    </w:p>
    <w:p w:rsidR="002A1594" w:rsidRDefault="00073D1D">
      <w:pPr>
        <w:spacing w:before="1" w:line="480" w:lineRule="auto"/>
        <w:ind w:left="108" w:right="102"/>
        <w:jc w:val="both"/>
        <w:rPr>
          <w:rFonts w:ascii="Palatino Linotype" w:eastAsia="Palatino Linotype" w:hAnsi="Palatino Linotype" w:cs="Palatino Linotype"/>
        </w:rPr>
      </w:pPr>
      <w:proofErr w:type="gramStart"/>
      <w:r>
        <w:rPr>
          <w:rFonts w:ascii="Palatino Linotype" w:eastAsia="Palatino Linotype" w:hAnsi="Palatino Linotype" w:cs="Palatino Linotype"/>
        </w:rPr>
        <w:t xml:space="preserve">754-64 (1998); </w:t>
      </w:r>
      <w:r>
        <w:rPr>
          <w:rFonts w:ascii="Palatino Linotype" w:eastAsia="Palatino Linotype" w:hAnsi="Palatino Linotype" w:cs="Palatino Linotype"/>
          <w:i/>
        </w:rPr>
        <w:t xml:space="preserve">Meritor Savings Bank, FSB </w:t>
      </w:r>
      <w:r>
        <w:rPr>
          <w:rFonts w:ascii="Palatino Linotype" w:eastAsia="Palatino Linotype" w:hAnsi="Palatino Linotype" w:cs="Palatino Linotype"/>
          <w:i/>
          <w:spacing w:val="-8"/>
        </w:rPr>
        <w:t xml:space="preserve">v. </w:t>
      </w:r>
      <w:r>
        <w:rPr>
          <w:rFonts w:ascii="Palatino Linotype" w:eastAsia="Palatino Linotype" w:hAnsi="Palatino Linotype" w:cs="Palatino Linotype"/>
          <w:i/>
          <w:spacing w:val="-4"/>
        </w:rPr>
        <w:t>Vinson</w:t>
      </w:r>
      <w:r>
        <w:rPr>
          <w:rFonts w:ascii="Palatino Linotype" w:eastAsia="Palatino Linotype" w:hAnsi="Palatino Linotype" w:cs="Palatino Linotype"/>
          <w:spacing w:val="-4"/>
        </w:rPr>
        <w:t xml:space="preserve">, </w:t>
      </w:r>
      <w:r>
        <w:rPr>
          <w:rFonts w:ascii="Palatino Linotype" w:eastAsia="Palatino Linotype" w:hAnsi="Palatino Linotype" w:cs="Palatino Linotype"/>
        </w:rPr>
        <w:t>477 U.S. 57, 72 (1986).</w:t>
      </w:r>
      <w:proofErr w:type="gramEnd"/>
      <w:r>
        <w:rPr>
          <w:rFonts w:ascii="Palatino Linotype" w:eastAsia="Palatino Linotype" w:hAnsi="Palatino Linotype" w:cs="Palatino Linotype"/>
        </w:rPr>
        <w:t xml:space="preserve"> This reading </w:t>
      </w:r>
      <w:proofErr w:type="gramStart"/>
      <w:r>
        <w:rPr>
          <w:rFonts w:ascii="Palatino Linotype" w:eastAsia="Palatino Linotype" w:hAnsi="Palatino Linotype" w:cs="Palatino Linotype"/>
        </w:rPr>
        <w:t xml:space="preserve">of  </w:t>
      </w:r>
      <w:r>
        <w:rPr>
          <w:rFonts w:ascii="Palatino Linotype" w:eastAsia="Palatino Linotype" w:hAnsi="Palatino Linotype" w:cs="Palatino Linotype"/>
        </w:rPr>
        <w:t>the</w:t>
      </w:r>
      <w:proofErr w:type="gramEnd"/>
      <w:r>
        <w:rPr>
          <w:rFonts w:ascii="Palatino Linotype" w:eastAsia="Palatino Linotype" w:hAnsi="Palatino Linotype" w:cs="Palatino Linotype"/>
        </w:rPr>
        <w:t xml:space="preserve"> statutory language suggests that Congress intended to hold traditional employers liable for the actions of their agents in certain circumstances. </w:t>
      </w:r>
      <w:proofErr w:type="gramStart"/>
      <w:r>
        <w:rPr>
          <w:rFonts w:ascii="Palatino Linotype" w:eastAsia="Palatino Linotype" w:hAnsi="Palatino Linotype" w:cs="Palatino Linotype"/>
          <w:i/>
        </w:rPr>
        <w:t xml:space="preserve">Huston </w:t>
      </w:r>
      <w:r>
        <w:rPr>
          <w:rFonts w:ascii="Palatino Linotype" w:eastAsia="Palatino Linotype" w:hAnsi="Palatino Linotype" w:cs="Palatino Linotype"/>
          <w:i/>
          <w:spacing w:val="-6"/>
        </w:rPr>
        <w:t xml:space="preserve">v. </w:t>
      </w:r>
      <w:r>
        <w:rPr>
          <w:rFonts w:ascii="Palatino Linotype" w:eastAsia="Palatino Linotype" w:hAnsi="Palatino Linotype" w:cs="Palatino Linotype"/>
          <w:i/>
        </w:rPr>
        <w:t>Proctor &amp; Gamble Paper Products Corp.</w:t>
      </w:r>
      <w:r>
        <w:rPr>
          <w:rFonts w:ascii="Palatino Linotype" w:eastAsia="Palatino Linotype" w:hAnsi="Palatino Linotype" w:cs="Palatino Linotype"/>
        </w:rPr>
        <w:t xml:space="preserve">, 568 </w:t>
      </w:r>
      <w:r>
        <w:rPr>
          <w:rFonts w:ascii="Palatino Linotype" w:eastAsia="Palatino Linotype" w:hAnsi="Palatino Linotype" w:cs="Palatino Linotype"/>
          <w:spacing w:val="-4"/>
        </w:rPr>
        <w:t xml:space="preserve">F.3d </w:t>
      </w:r>
      <w:r>
        <w:rPr>
          <w:rFonts w:ascii="Palatino Linotype" w:eastAsia="Palatino Linotype" w:hAnsi="Palatino Linotype" w:cs="Palatino Linotype"/>
        </w:rPr>
        <w:t xml:space="preserve">100, 106 (3d </w:t>
      </w:r>
      <w:r>
        <w:rPr>
          <w:rFonts w:ascii="Palatino Linotype" w:eastAsia="Palatino Linotype" w:hAnsi="Palatino Linotype" w:cs="Palatino Linotype"/>
          <w:spacing w:val="-4"/>
        </w:rPr>
        <w:t xml:space="preserve">Cir. </w:t>
      </w:r>
      <w:r>
        <w:rPr>
          <w:rFonts w:ascii="Palatino Linotype" w:eastAsia="Palatino Linotype" w:hAnsi="Palatino Linotype" w:cs="Palatino Linotype"/>
        </w:rPr>
        <w:t xml:space="preserve">2009); </w:t>
      </w:r>
      <w:r>
        <w:rPr>
          <w:rFonts w:ascii="Palatino Linotype" w:eastAsia="Palatino Linotype" w:hAnsi="Palatino Linotype" w:cs="Palatino Linotype"/>
          <w:i/>
        </w:rPr>
        <w:t xml:space="preserve">Knabe </w:t>
      </w:r>
      <w:r>
        <w:rPr>
          <w:rFonts w:ascii="Palatino Linotype" w:eastAsia="Palatino Linotype" w:hAnsi="Palatino Linotype" w:cs="Palatino Linotype"/>
          <w:i/>
          <w:spacing w:val="-6"/>
        </w:rPr>
        <w:t xml:space="preserve">v. </w:t>
      </w:r>
      <w:r>
        <w:rPr>
          <w:rFonts w:ascii="Palatino Linotype" w:eastAsia="Palatino Linotype" w:hAnsi="Palatino Linotype" w:cs="Palatino Linotype"/>
          <w:i/>
        </w:rPr>
        <w:t>Boury Corp.</w:t>
      </w:r>
      <w:r>
        <w:rPr>
          <w:rFonts w:ascii="Palatino Linotype" w:eastAsia="Palatino Linotype" w:hAnsi="Palatino Linotype" w:cs="Palatino Linotype"/>
        </w:rPr>
        <w:t>, 1</w:t>
      </w:r>
      <w:r>
        <w:rPr>
          <w:rFonts w:ascii="Palatino Linotype" w:eastAsia="Palatino Linotype" w:hAnsi="Palatino Linotype" w:cs="Palatino Linotype"/>
        </w:rPr>
        <w:t xml:space="preserve">14 </w:t>
      </w:r>
      <w:r>
        <w:rPr>
          <w:rFonts w:ascii="Palatino Linotype" w:eastAsia="Palatino Linotype" w:hAnsi="Palatino Linotype" w:cs="Palatino Linotype"/>
          <w:spacing w:val="-4"/>
        </w:rPr>
        <w:t xml:space="preserve">F.3d </w:t>
      </w:r>
      <w:r>
        <w:rPr>
          <w:rFonts w:ascii="Palatino Linotype" w:eastAsia="Palatino Linotype" w:hAnsi="Palatino Linotype" w:cs="Palatino Linotype"/>
        </w:rPr>
        <w:t xml:space="preserve">407, 411 (3d </w:t>
      </w:r>
      <w:r>
        <w:rPr>
          <w:rFonts w:ascii="Palatino Linotype" w:eastAsia="Palatino Linotype" w:hAnsi="Palatino Linotype" w:cs="Palatino Linotype"/>
          <w:spacing w:val="-4"/>
        </w:rPr>
        <w:t xml:space="preserve">Cir. </w:t>
      </w:r>
      <w:r>
        <w:rPr>
          <w:rFonts w:ascii="Palatino Linotype" w:eastAsia="Palatino Linotype" w:hAnsi="Palatino Linotype" w:cs="Palatino Linotype"/>
        </w:rPr>
        <w:t xml:space="preserve">1997); </w:t>
      </w:r>
      <w:r>
        <w:rPr>
          <w:rFonts w:ascii="Palatino Linotype" w:eastAsia="Palatino Linotype" w:hAnsi="Palatino Linotype" w:cs="Palatino Linotype"/>
          <w:i/>
        </w:rPr>
        <w:t xml:space="preserve">Craig </w:t>
      </w:r>
      <w:r>
        <w:rPr>
          <w:rFonts w:ascii="Palatino Linotype" w:eastAsia="Palatino Linotype" w:hAnsi="Palatino Linotype" w:cs="Palatino Linotype"/>
          <w:i/>
          <w:spacing w:val="-6"/>
        </w:rPr>
        <w:t xml:space="preserve">v. </w:t>
      </w:r>
      <w:r>
        <w:rPr>
          <w:rFonts w:ascii="Palatino Linotype" w:eastAsia="Palatino Linotype" w:hAnsi="Palatino Linotype" w:cs="Palatino Linotype"/>
          <w:i/>
        </w:rPr>
        <w:t>Y&amp;Y Snacks, Inc.</w:t>
      </w:r>
      <w:r>
        <w:rPr>
          <w:rFonts w:ascii="Palatino Linotype" w:eastAsia="Palatino Linotype" w:hAnsi="Palatino Linotype" w:cs="Palatino Linotype"/>
        </w:rPr>
        <w:t xml:space="preserve">, 721 </w:t>
      </w:r>
      <w:r>
        <w:rPr>
          <w:rFonts w:ascii="Palatino Linotype" w:eastAsia="Palatino Linotype" w:hAnsi="Palatino Linotype" w:cs="Palatino Linotype"/>
          <w:spacing w:val="-5"/>
        </w:rPr>
        <w:t xml:space="preserve">F.2d </w:t>
      </w:r>
      <w:r>
        <w:rPr>
          <w:rFonts w:ascii="Palatino Linotype" w:eastAsia="Palatino Linotype" w:hAnsi="Palatino Linotype" w:cs="Palatino Linotype"/>
        </w:rPr>
        <w:t xml:space="preserve">77, 80-81 (3d </w:t>
      </w:r>
      <w:r>
        <w:rPr>
          <w:rFonts w:ascii="Palatino Linotype" w:eastAsia="Palatino Linotype" w:hAnsi="Palatino Linotype" w:cs="Palatino Linotype"/>
          <w:spacing w:val="-4"/>
        </w:rPr>
        <w:t xml:space="preserve">Cir. </w:t>
      </w:r>
      <w:r>
        <w:rPr>
          <w:rFonts w:ascii="Palatino Linotype" w:eastAsia="Palatino Linotype" w:hAnsi="Palatino Linotype" w:cs="Palatino Linotype"/>
        </w:rPr>
        <w:t>1983).</w:t>
      </w:r>
      <w:proofErr w:type="gramEnd"/>
      <w:r>
        <w:rPr>
          <w:rFonts w:ascii="Palatino Linotype" w:eastAsia="Palatino Linotype" w:hAnsi="Palatino Linotype" w:cs="Palatino Linotype"/>
        </w:rPr>
        <w:t xml:space="preserve"> It does not inevitably compel the conclusion that the ADA and Title VII impose direct liability upon the agents themselves. </w:t>
      </w:r>
      <w:r>
        <w:rPr>
          <w:rFonts w:ascii="Palatino Linotype" w:eastAsia="Palatino Linotype" w:hAnsi="Palatino Linotype" w:cs="Palatino Linotype"/>
          <w:i/>
        </w:rPr>
        <w:t xml:space="preserve">Mason </w:t>
      </w:r>
      <w:r>
        <w:rPr>
          <w:rFonts w:ascii="Palatino Linotype" w:eastAsia="Palatino Linotype" w:hAnsi="Palatino Linotype" w:cs="Palatino Linotype"/>
          <w:i/>
          <w:spacing w:val="-6"/>
        </w:rPr>
        <w:t xml:space="preserve">v. </w:t>
      </w:r>
      <w:r>
        <w:rPr>
          <w:rFonts w:ascii="Palatino Linotype" w:eastAsia="Palatino Linotype" w:hAnsi="Palatino Linotype" w:cs="Palatino Linotype"/>
          <w:i/>
        </w:rPr>
        <w:t>Stallings</w:t>
      </w:r>
      <w:r>
        <w:rPr>
          <w:rFonts w:ascii="Palatino Linotype" w:eastAsia="Palatino Linotype" w:hAnsi="Palatino Linotype" w:cs="Palatino Linotype"/>
        </w:rPr>
        <w:t xml:space="preserve">, 82 </w:t>
      </w:r>
      <w:r>
        <w:rPr>
          <w:rFonts w:ascii="Palatino Linotype" w:eastAsia="Palatino Linotype" w:hAnsi="Palatino Linotype" w:cs="Palatino Linotype"/>
          <w:spacing w:val="-5"/>
        </w:rPr>
        <w:t xml:space="preserve">F.3d </w:t>
      </w:r>
      <w:r>
        <w:rPr>
          <w:rFonts w:ascii="Palatino Linotype" w:eastAsia="Palatino Linotype" w:hAnsi="Palatino Linotype" w:cs="Palatino Linotype"/>
        </w:rPr>
        <w:t>1007, 100</w:t>
      </w:r>
      <w:r>
        <w:rPr>
          <w:rFonts w:ascii="Palatino Linotype" w:eastAsia="Palatino Linotype" w:hAnsi="Palatino Linotype" w:cs="Palatino Linotype"/>
        </w:rPr>
        <w:t xml:space="preserve">9 (11th </w:t>
      </w:r>
      <w:r>
        <w:rPr>
          <w:rFonts w:ascii="Palatino Linotype" w:eastAsia="Palatino Linotype" w:hAnsi="Palatino Linotype" w:cs="Palatino Linotype"/>
          <w:spacing w:val="-4"/>
        </w:rPr>
        <w:t xml:space="preserve">Cir. </w:t>
      </w:r>
      <w:r>
        <w:rPr>
          <w:rFonts w:ascii="Palatino Linotype" w:eastAsia="Palatino Linotype" w:hAnsi="Palatino Linotype" w:cs="Palatino Linotype"/>
        </w:rPr>
        <w:t xml:space="preserve">1996) (remarking that  “the  ‘agent’  language  </w:t>
      </w:r>
      <w:r>
        <w:rPr>
          <w:rFonts w:ascii="Palatino Linotype" w:eastAsia="Palatino Linotype" w:hAnsi="Palatino Linotype" w:cs="Palatino Linotype"/>
          <w:spacing w:val="-3"/>
        </w:rPr>
        <w:t xml:space="preserve">was  </w:t>
      </w:r>
      <w:r>
        <w:rPr>
          <w:rFonts w:ascii="Palatino Linotype" w:eastAsia="Palatino Linotype" w:hAnsi="Palatino Linotype" w:cs="Palatino Linotype"/>
        </w:rPr>
        <w:t xml:space="preserve">included  to  ensure  </w:t>
      </w:r>
      <w:r>
        <w:rPr>
          <w:rFonts w:ascii="Palatino Linotype" w:eastAsia="Palatino Linotype" w:hAnsi="Palatino Linotype" w:cs="Palatino Linotype"/>
          <w:i/>
        </w:rPr>
        <w:t xml:space="preserve">respondeat  superior  </w:t>
      </w:r>
      <w:r>
        <w:rPr>
          <w:rFonts w:ascii="Palatino Linotype" w:eastAsia="Palatino Linotype" w:hAnsi="Palatino Linotype" w:cs="Palatino Linotype"/>
        </w:rPr>
        <w:t xml:space="preserve">liability  of  </w:t>
      </w:r>
      <w:r>
        <w:rPr>
          <w:rFonts w:ascii="Palatino Linotype" w:eastAsia="Palatino Linotype" w:hAnsi="Palatino Linotype" w:cs="Palatino Linotype"/>
          <w:spacing w:val="21"/>
        </w:rPr>
        <w:t xml:space="preserve"> </w:t>
      </w:r>
      <w:r>
        <w:rPr>
          <w:rFonts w:ascii="Palatino Linotype" w:eastAsia="Palatino Linotype" w:hAnsi="Palatino Linotype" w:cs="Palatino Linotype"/>
        </w:rPr>
        <w:t>the</w:t>
      </w:r>
    </w:p>
    <w:p w:rsidR="002A1594" w:rsidRDefault="00073D1D">
      <w:pPr>
        <w:pStyle w:val="BodyText"/>
        <w:ind w:left="4371" w:right="4369"/>
        <w:jc w:val="center"/>
      </w:pPr>
      <w:r>
        <w:t>17</w:t>
      </w:r>
    </w:p>
    <w:p w:rsidR="002A1594" w:rsidRDefault="002A1594">
      <w:pPr>
        <w:jc w:val="center"/>
        <w:sectPr w:rsidR="002A1594">
          <w:pgSz w:w="12240" w:h="15840"/>
          <w:pgMar w:top="540" w:right="162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102"/>
        <w:jc w:val="both"/>
      </w:pPr>
      <w:proofErr w:type="gramStart"/>
      <w:r>
        <w:rPr>
          <w:rFonts w:cs="Palatino Linotype"/>
        </w:rPr>
        <w:t>employer</w:t>
      </w:r>
      <w:proofErr w:type="gramEnd"/>
      <w:r>
        <w:rPr>
          <w:rFonts w:cs="Palatino Linotype"/>
        </w:rPr>
        <w:t xml:space="preserve"> for the acts of its agents”</w:t>
      </w:r>
      <w:r>
        <w:t xml:space="preserve">). If read </w:t>
      </w:r>
      <w:r>
        <w:rPr>
          <w:spacing w:val="-3"/>
        </w:rPr>
        <w:t xml:space="preserve">literally, </w:t>
      </w:r>
      <w:r>
        <w:t xml:space="preserve">the statutory definitions would </w:t>
      </w:r>
      <w:r>
        <w:t xml:space="preserve">appear to impose liability upon all agents of covered employers, including individual employees. </w:t>
      </w:r>
      <w:proofErr w:type="gramStart"/>
      <w:r>
        <w:rPr>
          <w:rFonts w:cs="Palatino Linotype"/>
          <w:i/>
          <w:spacing w:val="-6"/>
        </w:rPr>
        <w:t xml:space="preserve">Tomka v. </w:t>
      </w:r>
      <w:r>
        <w:rPr>
          <w:rFonts w:cs="Palatino Linotype"/>
          <w:i/>
        </w:rPr>
        <w:t>Seiler Corp.</w:t>
      </w:r>
      <w:r>
        <w:t xml:space="preserve">, 66 </w:t>
      </w:r>
      <w:r>
        <w:rPr>
          <w:spacing w:val="-4"/>
        </w:rPr>
        <w:t xml:space="preserve">F.3d </w:t>
      </w:r>
      <w:r>
        <w:t xml:space="preserve">1295, 1313-14 (2d </w:t>
      </w:r>
      <w:r>
        <w:rPr>
          <w:spacing w:val="-4"/>
        </w:rPr>
        <w:t xml:space="preserve">Cir. </w:t>
      </w:r>
      <w:r>
        <w:t>1995).</w:t>
      </w:r>
      <w:proofErr w:type="gramEnd"/>
      <w:r>
        <w:t xml:space="preserve"> Nonetheless, </w:t>
      </w:r>
      <w:proofErr w:type="gramStart"/>
      <w:r>
        <w:t xml:space="preserve">the  </w:t>
      </w:r>
      <w:r>
        <w:rPr>
          <w:rFonts w:cs="Palatino Linotype"/>
        </w:rPr>
        <w:t>Third</w:t>
      </w:r>
      <w:proofErr w:type="gramEnd"/>
      <w:r>
        <w:rPr>
          <w:rFonts w:cs="Palatino Linotype"/>
        </w:rPr>
        <w:t xml:space="preserve"> Circuit has held that individual “agents” cannot be sued under Title VII. </w:t>
      </w:r>
      <w:proofErr w:type="gramStart"/>
      <w:r>
        <w:rPr>
          <w:rFonts w:cs="Palatino Linotype"/>
          <w:i/>
        </w:rPr>
        <w:t xml:space="preserve">Kachmar </w:t>
      </w:r>
      <w:r>
        <w:rPr>
          <w:rFonts w:cs="Palatino Linotype"/>
          <w:i/>
          <w:spacing w:val="-8"/>
        </w:rPr>
        <w:t xml:space="preserve">v. </w:t>
      </w:r>
      <w:r>
        <w:rPr>
          <w:rFonts w:cs="Palatino Linotype"/>
          <w:i/>
        </w:rPr>
        <w:t>Sungard Data Systems, Inc.</w:t>
      </w:r>
      <w:r>
        <w:t xml:space="preserve">, 109 </w:t>
      </w:r>
      <w:r>
        <w:rPr>
          <w:spacing w:val="-4"/>
        </w:rPr>
        <w:t xml:space="preserve">F.3d </w:t>
      </w:r>
      <w:r>
        <w:t xml:space="preserve">173, 184 (3d </w:t>
      </w:r>
      <w:r>
        <w:rPr>
          <w:spacing w:val="-4"/>
        </w:rPr>
        <w:t xml:space="preserve">Cir. </w:t>
      </w:r>
      <w:r>
        <w:t xml:space="preserve">1997); </w:t>
      </w:r>
      <w:r>
        <w:rPr>
          <w:rFonts w:cs="Palatino Linotype"/>
          <w:i/>
        </w:rPr>
        <w:t xml:space="preserve">Dici </w:t>
      </w:r>
      <w:r>
        <w:rPr>
          <w:rFonts w:cs="Palatino Linotype"/>
          <w:i/>
          <w:spacing w:val="-6"/>
        </w:rPr>
        <w:t xml:space="preserve">v. </w:t>
      </w:r>
      <w:r>
        <w:rPr>
          <w:rFonts w:cs="Palatino Linotype"/>
          <w:i/>
        </w:rPr>
        <w:t>Commonwealth of Pennsylvania</w:t>
      </w:r>
      <w:r>
        <w:t xml:space="preserve">, 91 </w:t>
      </w:r>
      <w:r>
        <w:rPr>
          <w:spacing w:val="-4"/>
        </w:rPr>
        <w:t xml:space="preserve">F.3d </w:t>
      </w:r>
      <w:r>
        <w:t xml:space="preserve">542, 552 (3d </w:t>
      </w:r>
      <w:r>
        <w:rPr>
          <w:spacing w:val="-4"/>
        </w:rPr>
        <w:t xml:space="preserve">Cir. </w:t>
      </w:r>
      <w:r>
        <w:t>1996).</w:t>
      </w:r>
      <w:proofErr w:type="gramEnd"/>
      <w:r>
        <w:t xml:space="preserve"> The Civil Rights Act of 1991 measures the maximum amount of compensatory and punitive damages available to an ag</w:t>
      </w:r>
      <w:r>
        <w:t xml:space="preserve">grieved employee by reference to the number of employees working for his or her </w:t>
      </w:r>
      <w:r>
        <w:rPr>
          <w:spacing w:val="-3"/>
        </w:rPr>
        <w:t xml:space="preserve">employer.     </w:t>
      </w:r>
      <w:r>
        <w:rPr>
          <w:spacing w:val="34"/>
        </w:rPr>
        <w:t xml:space="preserve"> </w:t>
      </w:r>
      <w:r>
        <w:t>42</w:t>
      </w:r>
    </w:p>
    <w:p w:rsidR="002A1594" w:rsidRDefault="00073D1D">
      <w:pPr>
        <w:pStyle w:val="BodyText"/>
        <w:spacing w:before="1" w:line="480" w:lineRule="auto"/>
        <w:ind w:right="102"/>
        <w:jc w:val="both"/>
        <w:rPr>
          <w:rFonts w:cs="Palatino Linotype"/>
        </w:rPr>
      </w:pPr>
      <w:r>
        <w:t xml:space="preserve">U.S.C. § </w:t>
      </w:r>
      <w:proofErr w:type="gramStart"/>
      <w:r>
        <w:rPr>
          <w:rFonts w:cs="Palatino Linotype"/>
        </w:rPr>
        <w:t>1981a(</w:t>
      </w:r>
      <w:proofErr w:type="gramEnd"/>
      <w:r>
        <w:rPr>
          <w:rFonts w:cs="Palatino Linotype"/>
        </w:rPr>
        <w:t xml:space="preserve">b)(3). </w:t>
      </w:r>
      <w:r>
        <w:rPr>
          <w:rFonts w:cs="Palatino Linotype"/>
          <w:spacing w:val="-2"/>
        </w:rPr>
        <w:t xml:space="preserve">The </w:t>
      </w:r>
      <w:r>
        <w:rPr>
          <w:rFonts w:cs="Palatino Linotype"/>
        </w:rPr>
        <w:t>Court of Appeals has relied on this “sliding scale of damages” as a basis for inferring that “Congress did not contemplate that such</w:t>
      </w:r>
      <w:r>
        <w:rPr>
          <w:rFonts w:cs="Palatino Linotype"/>
        </w:rPr>
        <w:t xml:space="preserve"> damages would be </w:t>
      </w:r>
      <w:proofErr w:type="gramStart"/>
      <w:r>
        <w:rPr>
          <w:rFonts w:cs="Palatino Linotype"/>
        </w:rPr>
        <w:t>assessed  against</w:t>
      </w:r>
      <w:proofErr w:type="gramEnd"/>
      <w:r>
        <w:rPr>
          <w:rFonts w:cs="Palatino Linotype"/>
        </w:rPr>
        <w:t xml:space="preserve">  individuals  who  are  not themselves the employing </w:t>
      </w:r>
      <w:r>
        <w:rPr>
          <w:rFonts w:cs="Palatino Linotype"/>
          <w:spacing w:val="-4"/>
        </w:rPr>
        <w:t xml:space="preserve">entity.”   </w:t>
      </w:r>
      <w:proofErr w:type="gramStart"/>
      <w:r>
        <w:rPr>
          <w:rFonts w:cs="Palatino Linotype"/>
          <w:i/>
        </w:rPr>
        <w:t>Sheridan</w:t>
      </w:r>
      <w:r>
        <w:rPr>
          <w:rFonts w:cs="Palatino Linotype"/>
          <w:i/>
          <w:spacing w:val="7"/>
        </w:rPr>
        <w:t xml:space="preserve"> </w:t>
      </w:r>
      <w:r>
        <w:rPr>
          <w:rFonts w:cs="Palatino Linotype"/>
          <w:i/>
          <w:spacing w:val="-6"/>
        </w:rPr>
        <w:t>v.</w:t>
      </w:r>
      <w:proofErr w:type="gramEnd"/>
    </w:p>
    <w:p w:rsidR="002A1594" w:rsidRDefault="00073D1D">
      <w:pPr>
        <w:pStyle w:val="BodyText"/>
        <w:spacing w:before="1" w:line="480" w:lineRule="auto"/>
        <w:ind w:right="101"/>
        <w:jc w:val="both"/>
        <w:rPr>
          <w:rFonts w:cs="Palatino Linotype"/>
        </w:rPr>
      </w:pPr>
      <w:proofErr w:type="gramStart"/>
      <w:r>
        <w:rPr>
          <w:rFonts w:cs="Palatino Linotype"/>
          <w:i/>
        </w:rPr>
        <w:t>E.I. DuPont de Nemours &amp; Co.</w:t>
      </w:r>
      <w:r>
        <w:t xml:space="preserve">, 100 </w:t>
      </w:r>
      <w:r>
        <w:rPr>
          <w:spacing w:val="-4"/>
        </w:rPr>
        <w:t xml:space="preserve">F.3d </w:t>
      </w:r>
      <w:r>
        <w:t xml:space="preserve">1061, 1077 (3d </w:t>
      </w:r>
      <w:r>
        <w:rPr>
          <w:spacing w:val="-4"/>
        </w:rPr>
        <w:t xml:space="preserve">Cir. </w:t>
      </w:r>
      <w:r>
        <w:t>1996).</w:t>
      </w:r>
      <w:proofErr w:type="gramEnd"/>
      <w:r>
        <w:t xml:space="preserve"> In light of </w:t>
      </w:r>
      <w:proofErr w:type="gramStart"/>
      <w:r>
        <w:t>these  principles</w:t>
      </w:r>
      <w:proofErr w:type="gramEnd"/>
      <w:r>
        <w:rPr>
          <w:rFonts w:cs="Palatino Linotype"/>
        </w:rPr>
        <w:t xml:space="preserve">, a reasonable argument could be made that Title </w:t>
      </w:r>
      <w:r>
        <w:rPr>
          <w:rFonts w:cs="Palatino Linotype"/>
          <w:spacing w:val="-9"/>
        </w:rPr>
        <w:t xml:space="preserve">I’s </w:t>
      </w:r>
      <w:r>
        <w:rPr>
          <w:rFonts w:cs="Palatino Linotype"/>
        </w:rPr>
        <w:t xml:space="preserve">statutory definition </w:t>
      </w:r>
      <w:r>
        <w:t xml:space="preserve">does  not impose liability upon covered agents. </w:t>
      </w:r>
      <w:r>
        <w:rPr>
          <w:rFonts w:cs="Palatino Linotype"/>
          <w:i/>
          <w:spacing w:val="-5"/>
        </w:rPr>
        <w:t>Tomka</w:t>
      </w:r>
      <w:r>
        <w:rPr>
          <w:spacing w:val="-5"/>
        </w:rPr>
        <w:t xml:space="preserve">, </w:t>
      </w:r>
      <w:r>
        <w:t xml:space="preserve">66 </w:t>
      </w:r>
      <w:r>
        <w:rPr>
          <w:spacing w:val="-4"/>
        </w:rPr>
        <w:t xml:space="preserve">F.3d </w:t>
      </w:r>
      <w:r>
        <w:t xml:space="preserve">at 1313 (observing that </w:t>
      </w:r>
      <w:r>
        <w:rPr>
          <w:rFonts w:cs="Palatino Linotype"/>
        </w:rPr>
        <w:t xml:space="preserve">Title </w:t>
      </w:r>
      <w:r>
        <w:rPr>
          <w:rFonts w:cs="Palatino Linotype"/>
          <w:spacing w:val="-6"/>
        </w:rPr>
        <w:t xml:space="preserve">VII’s </w:t>
      </w:r>
      <w:r>
        <w:rPr>
          <w:rFonts w:cs="Palatino Linotype"/>
        </w:rPr>
        <w:t>definition could be read to mean that “discriminatory personnel actions taken by an employer’s agent only create liability for the</w:t>
      </w:r>
      <w:r>
        <w:rPr>
          <w:rFonts w:cs="Palatino Linotype"/>
          <w:spacing w:val="-35"/>
        </w:rPr>
        <w:t xml:space="preserve"> </w:t>
      </w:r>
      <w:r>
        <w:rPr>
          <w:rFonts w:cs="Palatino Linotype"/>
        </w:rPr>
        <w:t>e</w:t>
      </w:r>
      <w:r>
        <w:rPr>
          <w:rFonts w:cs="Palatino Linotype"/>
        </w:rPr>
        <w:t>mployer</w:t>
      </w:r>
      <w:r>
        <w:t>-</w:t>
      </w:r>
      <w:r>
        <w:rPr>
          <w:rFonts w:cs="Palatino Linotype"/>
        </w:rPr>
        <w:t>entity”).</w:t>
      </w:r>
    </w:p>
    <w:p w:rsidR="002A1594" w:rsidRDefault="00073D1D">
      <w:pPr>
        <w:pStyle w:val="BodyText"/>
        <w:spacing w:before="0" w:line="480" w:lineRule="auto"/>
        <w:ind w:right="107" w:firstLine="719"/>
        <w:jc w:val="both"/>
      </w:pPr>
      <w:r>
        <w:rPr>
          <w:rFonts w:cs="Palatino Linotype"/>
        </w:rPr>
        <w:t xml:space="preserve">Notwithstanding the interpretive theory that Congress used the word “agent” </w:t>
      </w:r>
      <w:r>
        <w:t xml:space="preserve">solely to define </w:t>
      </w:r>
      <w:r>
        <w:rPr>
          <w:rFonts w:cs="Palatino Linotype"/>
        </w:rPr>
        <w:t xml:space="preserve">a traditional employer’s liability for discriminatory actions taken by its </w:t>
      </w:r>
      <w:r>
        <w:t xml:space="preserve">employees, some federal courts have concluded that an agent otherwise </w:t>
      </w:r>
      <w:r>
        <w:t xml:space="preserve">falling within the </w:t>
      </w:r>
      <w:r>
        <w:rPr>
          <w:rFonts w:cs="Palatino Linotype"/>
        </w:rPr>
        <w:t>definition</w:t>
      </w:r>
      <w:r>
        <w:rPr>
          <w:rFonts w:cs="Palatino Linotype"/>
          <w:spacing w:val="19"/>
        </w:rPr>
        <w:t xml:space="preserve"> </w:t>
      </w:r>
      <w:r>
        <w:rPr>
          <w:rFonts w:cs="Palatino Linotype"/>
        </w:rPr>
        <w:t>of</w:t>
      </w:r>
      <w:r>
        <w:rPr>
          <w:rFonts w:cs="Palatino Linotype"/>
          <w:spacing w:val="16"/>
        </w:rPr>
        <w:t xml:space="preserve"> </w:t>
      </w:r>
      <w:r>
        <w:rPr>
          <w:rFonts w:cs="Palatino Linotype"/>
        </w:rPr>
        <w:t>the</w:t>
      </w:r>
      <w:r>
        <w:rPr>
          <w:rFonts w:cs="Palatino Linotype"/>
          <w:spacing w:val="20"/>
        </w:rPr>
        <w:t xml:space="preserve"> </w:t>
      </w:r>
      <w:r>
        <w:rPr>
          <w:rFonts w:cs="Palatino Linotype"/>
        </w:rPr>
        <w:t>term</w:t>
      </w:r>
      <w:r>
        <w:rPr>
          <w:rFonts w:cs="Palatino Linotype"/>
          <w:spacing w:val="15"/>
        </w:rPr>
        <w:t xml:space="preserve"> </w:t>
      </w:r>
      <w:r>
        <w:rPr>
          <w:rFonts w:cs="Palatino Linotype"/>
        </w:rPr>
        <w:t>“employer”</w:t>
      </w:r>
      <w:r>
        <w:rPr>
          <w:rFonts w:cs="Palatino Linotype"/>
          <w:spacing w:val="20"/>
        </w:rPr>
        <w:t xml:space="preserve"> </w:t>
      </w:r>
      <w:r>
        <w:t>can</w:t>
      </w:r>
      <w:r>
        <w:rPr>
          <w:spacing w:val="16"/>
        </w:rPr>
        <w:t xml:space="preserve"> </w:t>
      </w:r>
      <w:r>
        <w:t>be</w:t>
      </w:r>
      <w:r>
        <w:rPr>
          <w:spacing w:val="20"/>
        </w:rPr>
        <w:t xml:space="preserve"> </w:t>
      </w:r>
      <w:r>
        <w:t>sued</w:t>
      </w:r>
      <w:r>
        <w:rPr>
          <w:spacing w:val="17"/>
        </w:rPr>
        <w:t xml:space="preserve"> </w:t>
      </w:r>
      <w:r>
        <w:t>for</w:t>
      </w:r>
      <w:r>
        <w:rPr>
          <w:spacing w:val="19"/>
        </w:rPr>
        <w:t xml:space="preserve"> </w:t>
      </w:r>
      <w:r>
        <w:t>discriminatory</w:t>
      </w:r>
      <w:r>
        <w:rPr>
          <w:spacing w:val="17"/>
        </w:rPr>
        <w:t xml:space="preserve"> </w:t>
      </w:r>
      <w:r>
        <w:t>conduct</w:t>
      </w:r>
      <w:r>
        <w:rPr>
          <w:spacing w:val="18"/>
        </w:rPr>
        <w:t xml:space="preserve"> </w:t>
      </w:r>
      <w:r>
        <w:t>directed</w:t>
      </w:r>
      <w:r>
        <w:rPr>
          <w:spacing w:val="17"/>
        </w:rPr>
        <w:t xml:space="preserve"> </w:t>
      </w:r>
      <w:r>
        <w:t>at</w:t>
      </w:r>
      <w:r>
        <w:rPr>
          <w:spacing w:val="18"/>
        </w:rPr>
        <w:t xml:space="preserve"> </w:t>
      </w:r>
      <w:r>
        <w:t>an</w:t>
      </w: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1"/>
        <w:rPr>
          <w:rFonts w:ascii="Palatino Linotype" w:eastAsia="Palatino Linotype" w:hAnsi="Palatino Linotype" w:cs="Palatino Linotype"/>
          <w:sz w:val="28"/>
          <w:szCs w:val="28"/>
        </w:rPr>
      </w:pPr>
    </w:p>
    <w:p w:rsidR="002A1594" w:rsidRDefault="00073D1D">
      <w:pPr>
        <w:pStyle w:val="BodyText"/>
        <w:ind w:left="4371" w:right="4369"/>
        <w:jc w:val="center"/>
      </w:pPr>
      <w:r>
        <w:t>18</w:t>
      </w:r>
    </w:p>
    <w:p w:rsidR="002A1594" w:rsidRDefault="002A1594">
      <w:pPr>
        <w:jc w:val="center"/>
        <w:sectPr w:rsidR="002A1594">
          <w:pgSz w:w="12240" w:h="15840"/>
          <w:pgMar w:top="540" w:right="162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101"/>
        <w:jc w:val="both"/>
      </w:pPr>
      <w:proofErr w:type="gramStart"/>
      <w:r>
        <w:t>i</w:t>
      </w:r>
      <w:r>
        <w:rPr>
          <w:rFonts w:cs="Palatino Linotype"/>
        </w:rPr>
        <w:t>ndividual</w:t>
      </w:r>
      <w:proofErr w:type="gramEnd"/>
      <w:r>
        <w:rPr>
          <w:rFonts w:cs="Palatino Linotype"/>
        </w:rPr>
        <w:t xml:space="preserve"> technically “employed” by another </w:t>
      </w:r>
      <w:r>
        <w:rPr>
          <w:rFonts w:cs="Palatino Linotype"/>
          <w:spacing w:val="-3"/>
        </w:rPr>
        <w:t>entity.</w:t>
      </w:r>
      <w:r>
        <w:rPr>
          <w:spacing w:val="-3"/>
          <w:position w:val="6"/>
          <w:sz w:val="13"/>
          <w:szCs w:val="13"/>
        </w:rPr>
        <w:t xml:space="preserve">5  </w:t>
      </w:r>
      <w:r>
        <w:rPr>
          <w:rFonts w:cs="Palatino Linotype"/>
          <w:i/>
        </w:rPr>
        <w:t xml:space="preserve">Nealey </w:t>
      </w:r>
      <w:r>
        <w:rPr>
          <w:rFonts w:cs="Palatino Linotype"/>
          <w:i/>
          <w:spacing w:val="-6"/>
        </w:rPr>
        <w:t xml:space="preserve">v.  </w:t>
      </w:r>
      <w:r>
        <w:rPr>
          <w:rFonts w:cs="Palatino Linotype"/>
          <w:i/>
        </w:rPr>
        <w:t>Universal Health Servs.</w:t>
      </w:r>
      <w:proofErr w:type="gramStart"/>
      <w:r>
        <w:rPr>
          <w:rFonts w:cs="Palatino Linotype"/>
          <w:i/>
        </w:rPr>
        <w:t>,  Inc</w:t>
      </w:r>
      <w:proofErr w:type="gramEnd"/>
      <w:r>
        <w:rPr>
          <w:rFonts w:cs="Palatino Linotype"/>
          <w:i/>
        </w:rPr>
        <w:t>.</w:t>
      </w:r>
      <w:r>
        <w:t xml:space="preserve">, 114 </w:t>
      </w:r>
      <w:r>
        <w:rPr>
          <w:spacing w:val="-8"/>
        </w:rPr>
        <w:t xml:space="preserve">F. </w:t>
      </w:r>
      <w:r>
        <w:t xml:space="preserve">Supp. 2d 1358, 1368-70 (S.D. Ga. 2000). The Third Circuit has indicated that an agent can be properly named as a defendant in an action arising under Title I. </w:t>
      </w:r>
      <w:r>
        <w:rPr>
          <w:rFonts w:cs="Palatino Linotype"/>
          <w:i/>
        </w:rPr>
        <w:t xml:space="preserve">Koslow </w:t>
      </w:r>
      <w:r>
        <w:rPr>
          <w:rFonts w:cs="Palatino Linotype"/>
          <w:i/>
          <w:spacing w:val="-6"/>
        </w:rPr>
        <w:t xml:space="preserve">v. </w:t>
      </w:r>
      <w:r>
        <w:rPr>
          <w:rFonts w:cs="Palatino Linotype"/>
          <w:i/>
        </w:rPr>
        <w:t>Commonwealth of Pennsylvania</w:t>
      </w:r>
      <w:r>
        <w:t xml:space="preserve">, 302 </w:t>
      </w:r>
      <w:r>
        <w:rPr>
          <w:spacing w:val="-4"/>
        </w:rPr>
        <w:t xml:space="preserve">F.3d </w:t>
      </w:r>
      <w:r>
        <w:t xml:space="preserve">161, 177 (3d </w:t>
      </w:r>
      <w:r>
        <w:rPr>
          <w:spacing w:val="-4"/>
        </w:rPr>
        <w:t xml:space="preserve">Cir. </w:t>
      </w:r>
      <w:r>
        <w:t xml:space="preserve">2002). In </w:t>
      </w:r>
      <w:r>
        <w:rPr>
          <w:rFonts w:cs="Palatino Linotype"/>
          <w:i/>
          <w:spacing w:val="-4"/>
        </w:rPr>
        <w:t xml:space="preserve">DeVito </w:t>
      </w:r>
      <w:r>
        <w:rPr>
          <w:rFonts w:cs="Palatino Linotype"/>
          <w:i/>
          <w:spacing w:val="-6"/>
        </w:rPr>
        <w:t xml:space="preserve">v. </w:t>
      </w:r>
      <w:r>
        <w:rPr>
          <w:rFonts w:cs="Palatino Linotype"/>
          <w:i/>
        </w:rPr>
        <w:t>Chicago Pa</w:t>
      </w:r>
      <w:r>
        <w:rPr>
          <w:rFonts w:cs="Palatino Linotype"/>
          <w:i/>
        </w:rPr>
        <w:t>rk District</w:t>
      </w:r>
      <w:r>
        <w:t xml:space="preserve">, 83 </w:t>
      </w:r>
      <w:r>
        <w:rPr>
          <w:spacing w:val="-4"/>
        </w:rPr>
        <w:t xml:space="preserve">F.3d </w:t>
      </w:r>
      <w:r>
        <w:t xml:space="preserve">878, 882 (7th </w:t>
      </w:r>
      <w:r>
        <w:rPr>
          <w:spacing w:val="-4"/>
        </w:rPr>
        <w:t xml:space="preserve">Cir. </w:t>
      </w:r>
      <w:r>
        <w:t xml:space="preserve">1996), the Seventh Circuit concluded that an agent satisfying the employee-numerosity requirement could be sued under the ADA for discriminatory conduct perpetrated against a plaintiff employed by a distinct </w:t>
      </w:r>
      <w:r>
        <w:rPr>
          <w:spacing w:val="-5"/>
        </w:rPr>
        <w:t xml:space="preserve">entity. </w:t>
      </w:r>
      <w:r>
        <w:t xml:space="preserve">The reasoning employed in </w:t>
      </w:r>
      <w:r>
        <w:rPr>
          <w:rFonts w:cs="Palatino Linotype"/>
          <w:i/>
          <w:spacing w:val="-4"/>
        </w:rPr>
        <w:t xml:space="preserve">DeVito </w:t>
      </w:r>
      <w:r>
        <w:t xml:space="preserve">appears to remain viable in the Seventh Circuit. </w:t>
      </w:r>
      <w:r>
        <w:rPr>
          <w:rFonts w:cs="Palatino Linotype"/>
          <w:i/>
        </w:rPr>
        <w:t xml:space="preserve">Alam </w:t>
      </w:r>
      <w:r>
        <w:rPr>
          <w:rFonts w:cs="Palatino Linotype"/>
          <w:i/>
          <w:spacing w:val="-6"/>
        </w:rPr>
        <w:t xml:space="preserve">v. </w:t>
      </w:r>
      <w:r>
        <w:rPr>
          <w:rFonts w:cs="Palatino Linotype"/>
          <w:i/>
        </w:rPr>
        <w:t>Miller Brewing Co.</w:t>
      </w:r>
      <w:r>
        <w:t xml:space="preserve">, 709 </w:t>
      </w:r>
      <w:r>
        <w:rPr>
          <w:spacing w:val="-5"/>
        </w:rPr>
        <w:t xml:space="preserve">F.3d </w:t>
      </w:r>
      <w:r>
        <w:t xml:space="preserve">662, 668 (7th </w:t>
      </w:r>
      <w:r>
        <w:rPr>
          <w:spacing w:val="-4"/>
        </w:rPr>
        <w:t xml:space="preserve">Cir. </w:t>
      </w:r>
      <w:r>
        <w:t>2013) (citi</w:t>
      </w:r>
      <w:r>
        <w:rPr>
          <w:rFonts w:cs="Palatino Linotype"/>
        </w:rPr>
        <w:t xml:space="preserve">ng cases “for the proposition that </w:t>
      </w:r>
      <w:r>
        <w:t>Title VII plaintiffs may maintain a suit directly against an entity acti</w:t>
      </w:r>
      <w:r>
        <w:t xml:space="preserve">ng as the agent of an </w:t>
      </w:r>
      <w:r>
        <w:rPr>
          <w:rFonts w:cs="Palatino Linotype"/>
        </w:rPr>
        <w:t>employer”</w:t>
      </w:r>
      <w:r>
        <w:t xml:space="preserve">). </w:t>
      </w:r>
      <w:r>
        <w:rPr>
          <w:spacing w:val="-2"/>
        </w:rPr>
        <w:t xml:space="preserve">The </w:t>
      </w:r>
      <w:r>
        <w:t xml:space="preserve">rule prohibiting the imposition of liability upon individual </w:t>
      </w:r>
      <w:proofErr w:type="gramStart"/>
      <w:r>
        <w:t>agents  reflects</w:t>
      </w:r>
      <w:proofErr w:type="gramEnd"/>
      <w:r>
        <w:t xml:space="preserve"> the desire of Congress </w:t>
      </w:r>
      <w:r>
        <w:rPr>
          <w:rFonts w:cs="Palatino Linotype"/>
        </w:rPr>
        <w:t>to “str[i</w:t>
      </w:r>
      <w:r>
        <w:t xml:space="preserve">ke] a balance between the goal of stamping out all discrimination and the goal of protecting small entities </w:t>
      </w:r>
      <w:r>
        <w:t xml:space="preserve">from the hardship of litigating </w:t>
      </w:r>
      <w:r>
        <w:rPr>
          <w:rFonts w:cs="Palatino Linotype"/>
        </w:rPr>
        <w:t xml:space="preserve">discrimination claims.” </w:t>
      </w:r>
      <w:r>
        <w:rPr>
          <w:rFonts w:cs="Palatino Linotype"/>
          <w:i/>
        </w:rPr>
        <w:t xml:space="preserve">EEOC </w:t>
      </w:r>
      <w:r>
        <w:rPr>
          <w:rFonts w:cs="Palatino Linotype"/>
          <w:i/>
          <w:spacing w:val="-6"/>
        </w:rPr>
        <w:t xml:space="preserve">v. </w:t>
      </w:r>
      <w:r>
        <w:rPr>
          <w:rFonts w:cs="Palatino Linotype"/>
          <w:i/>
        </w:rPr>
        <w:t>AIC Security Investigations, Ltd.</w:t>
      </w:r>
      <w:r>
        <w:t xml:space="preserve">, 55 </w:t>
      </w:r>
      <w:r>
        <w:rPr>
          <w:spacing w:val="-5"/>
        </w:rPr>
        <w:t xml:space="preserve">F.3d </w:t>
      </w:r>
      <w:r>
        <w:t>1276, 1281 (</w:t>
      </w:r>
      <w:proofErr w:type="gramStart"/>
      <w:r>
        <w:t xml:space="preserve">7th  </w:t>
      </w:r>
      <w:r>
        <w:rPr>
          <w:spacing w:val="-4"/>
        </w:rPr>
        <w:t>Cir</w:t>
      </w:r>
      <w:proofErr w:type="gramEnd"/>
      <w:r>
        <w:rPr>
          <w:spacing w:val="-4"/>
        </w:rPr>
        <w:t xml:space="preserve">. </w:t>
      </w:r>
      <w:r>
        <w:t>1995). Those object</w:t>
      </w:r>
      <w:r>
        <w:rPr>
          <w:rFonts w:cs="Palatino Linotype"/>
        </w:rPr>
        <w:t xml:space="preserve">ives are not in conflict when the “agent” </w:t>
      </w:r>
      <w:proofErr w:type="gramStart"/>
      <w:r>
        <w:rPr>
          <w:rFonts w:cs="Palatino Linotype"/>
        </w:rPr>
        <w:t>engaging  in</w:t>
      </w:r>
      <w:proofErr w:type="gramEnd"/>
      <w:r>
        <w:rPr>
          <w:rFonts w:cs="Palatino Linotype"/>
        </w:rPr>
        <w:t xml:space="preserve"> </w:t>
      </w:r>
      <w:r>
        <w:t>discriminatory conduct falls within the applicable st</w:t>
      </w:r>
      <w:r>
        <w:t xml:space="preserve">atutory definition. </w:t>
      </w:r>
      <w:proofErr w:type="gramStart"/>
      <w:r>
        <w:rPr>
          <w:rFonts w:cs="Palatino Linotype"/>
          <w:i/>
        </w:rPr>
        <w:t>Nealey</w:t>
      </w:r>
      <w:r>
        <w:t xml:space="preserve">, 114 </w:t>
      </w:r>
      <w:r>
        <w:rPr>
          <w:spacing w:val="-8"/>
        </w:rPr>
        <w:t>F.</w:t>
      </w:r>
      <w:proofErr w:type="gramEnd"/>
      <w:r>
        <w:rPr>
          <w:spacing w:val="-8"/>
        </w:rPr>
        <w:t xml:space="preserve">  </w:t>
      </w:r>
      <w:r>
        <w:t>Supp. 2d at 1368-6</w:t>
      </w:r>
      <w:r>
        <w:rPr>
          <w:rFonts w:cs="Palatino Linotype"/>
        </w:rPr>
        <w:t xml:space="preserve">9. </w:t>
      </w:r>
      <w:r>
        <w:rPr>
          <w:rFonts w:cs="Palatino Linotype"/>
          <w:spacing w:val="-3"/>
        </w:rPr>
        <w:t xml:space="preserve">Accordingly, </w:t>
      </w:r>
      <w:r>
        <w:rPr>
          <w:rFonts w:cs="Palatino Linotype"/>
        </w:rPr>
        <w:t xml:space="preserve">the Court is convinced that an “agent” independently satisfying  the  </w:t>
      </w:r>
      <w:r>
        <w:rPr>
          <w:rFonts w:cs="Palatino Linotype"/>
          <w:spacing w:val="-8"/>
        </w:rPr>
        <w:t xml:space="preserve">ADA’s  </w:t>
      </w:r>
      <w:r>
        <w:rPr>
          <w:rFonts w:cs="Palatino Linotype"/>
        </w:rPr>
        <w:t>cove</w:t>
      </w:r>
      <w:r>
        <w:t xml:space="preserve">rage  criteria  is  amenable  to  suit  by  an  individual </w:t>
      </w:r>
      <w:r>
        <w:rPr>
          <w:spacing w:val="44"/>
        </w:rPr>
        <w:t xml:space="preserve"> </w:t>
      </w:r>
      <w:r>
        <w:t>formally</w:t>
      </w: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13"/>
        <w:rPr>
          <w:rFonts w:ascii="Palatino Linotype" w:eastAsia="Palatino Linotype" w:hAnsi="Palatino Linotype" w:cs="Palatino Linotype"/>
        </w:rPr>
      </w:pPr>
    </w:p>
    <w:p w:rsidR="002A1594" w:rsidRDefault="00073D1D">
      <w:pPr>
        <w:spacing w:line="20" w:lineRule="exact"/>
        <w:ind w:left="102"/>
        <w:rPr>
          <w:rFonts w:ascii="Palatino Linotype" w:eastAsia="Palatino Linotype" w:hAnsi="Palatino Linotype" w:cs="Palatino Linotype"/>
          <w:sz w:val="2"/>
          <w:szCs w:val="2"/>
        </w:rPr>
      </w:pPr>
      <w:r>
        <w:rPr>
          <w:rFonts w:ascii="Palatino Linotype" w:eastAsia="Palatino Linotype" w:hAnsi="Palatino Linotype" w:cs="Palatino Linotype"/>
          <w:sz w:val="2"/>
          <w:szCs w:val="2"/>
        </w:rPr>
      </w:r>
      <w:r>
        <w:rPr>
          <w:rFonts w:ascii="Palatino Linotype" w:eastAsia="Palatino Linotype" w:hAnsi="Palatino Linotype" w:cs="Palatino Linotype"/>
          <w:sz w:val="2"/>
          <w:szCs w:val="2"/>
        </w:rPr>
        <w:pict>
          <v:group id="_x0000_s1064" style="width:144.65pt;height:.6pt;mso-position-horizontal-relative:char;mso-position-vertical-relative:line" coordsize="2893,12">
            <v:group id="_x0000_s1065" style="position:absolute;left:6;top:6;width:2881;height:2" coordorigin="6,6" coordsize="2881,2">
              <v:shape id="_x0000_s1066" style="position:absolute;left:6;top:6;width:2881;height:2" coordorigin="6,6" coordsize="2881,0" path="m6,6r2880,e" filled="f" strokeweight=".6pt">
                <v:path arrowok="t"/>
              </v:shape>
            </v:group>
            <w10:wrap type="none"/>
            <w10:anchorlock/>
          </v:group>
        </w:pict>
      </w:r>
    </w:p>
    <w:p w:rsidR="002A1594" w:rsidRDefault="002A1594">
      <w:pPr>
        <w:spacing w:before="2"/>
        <w:rPr>
          <w:rFonts w:ascii="Palatino Linotype" w:eastAsia="Palatino Linotype" w:hAnsi="Palatino Linotype" w:cs="Palatino Linotype"/>
          <w:sz w:val="5"/>
          <w:szCs w:val="5"/>
        </w:rPr>
      </w:pPr>
    </w:p>
    <w:p w:rsidR="002A1594" w:rsidRDefault="00073D1D">
      <w:pPr>
        <w:spacing w:before="33"/>
        <w:ind w:left="108"/>
        <w:jc w:val="both"/>
        <w:rPr>
          <w:rFonts w:ascii="Palatino Linotype" w:eastAsia="Palatino Linotype" w:hAnsi="Palatino Linotype" w:cs="Palatino Linotype"/>
          <w:sz w:val="21"/>
          <w:szCs w:val="21"/>
        </w:rPr>
      </w:pPr>
      <w:proofErr w:type="gramStart"/>
      <w:r>
        <w:rPr>
          <w:rFonts w:ascii="Palatino Linotype" w:eastAsia="Palatino Linotype" w:hAnsi="Palatino Linotype" w:cs="Palatino Linotype"/>
          <w:position w:val="6"/>
          <w:sz w:val="13"/>
          <w:szCs w:val="13"/>
        </w:rPr>
        <w:t xml:space="preserve">5  </w:t>
      </w:r>
      <w:r>
        <w:rPr>
          <w:rFonts w:ascii="Palatino Linotype" w:eastAsia="Palatino Linotype" w:hAnsi="Palatino Linotype" w:cs="Palatino Linotype"/>
          <w:sz w:val="21"/>
          <w:szCs w:val="21"/>
        </w:rPr>
        <w:t>Title</w:t>
      </w:r>
      <w:proofErr w:type="gramEnd"/>
      <w:r>
        <w:rPr>
          <w:rFonts w:ascii="Palatino Linotype" w:eastAsia="Palatino Linotype" w:hAnsi="Palatino Linotype" w:cs="Palatino Linotype"/>
          <w:sz w:val="21"/>
          <w:szCs w:val="21"/>
        </w:rPr>
        <w:t xml:space="preserve"> I defines the term “employee” as “an individual employed by an employer.”  </w:t>
      </w:r>
      <w:proofErr w:type="gramStart"/>
      <w:r>
        <w:rPr>
          <w:rFonts w:ascii="Palatino Linotype" w:eastAsia="Palatino Linotype" w:hAnsi="Palatino Linotype" w:cs="Palatino Linotype"/>
          <w:sz w:val="21"/>
          <w:szCs w:val="21"/>
        </w:rPr>
        <w:t xml:space="preserve">42 </w:t>
      </w:r>
      <w:r>
        <w:rPr>
          <w:rFonts w:ascii="Palatino Linotype" w:eastAsia="Palatino Linotype" w:hAnsi="Palatino Linotype" w:cs="Palatino Linotype"/>
          <w:spacing w:val="51"/>
          <w:sz w:val="21"/>
          <w:szCs w:val="21"/>
        </w:rPr>
        <w:t xml:space="preserve"> </w:t>
      </w:r>
      <w:r>
        <w:rPr>
          <w:rFonts w:ascii="Palatino Linotype" w:eastAsia="Palatino Linotype" w:hAnsi="Palatino Linotype" w:cs="Palatino Linotype"/>
          <w:sz w:val="21"/>
          <w:szCs w:val="21"/>
        </w:rPr>
        <w:t>U.S.C</w:t>
      </w:r>
      <w:proofErr w:type="gramEnd"/>
      <w:r>
        <w:rPr>
          <w:rFonts w:ascii="Palatino Linotype" w:eastAsia="Palatino Linotype" w:hAnsi="Palatino Linotype" w:cs="Palatino Linotype"/>
          <w:sz w:val="21"/>
          <w:szCs w:val="21"/>
        </w:rPr>
        <w:t>.</w:t>
      </w:r>
    </w:p>
    <w:p w:rsidR="002A1594" w:rsidRDefault="00073D1D">
      <w:pPr>
        <w:ind w:left="108" w:right="10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 12111(4). This definition is “completely circular” and sheds no light on the question </w:t>
      </w:r>
      <w:proofErr w:type="gramStart"/>
      <w:r>
        <w:rPr>
          <w:rFonts w:ascii="Palatino Linotype" w:eastAsia="Palatino Linotype" w:hAnsi="Palatino Linotype" w:cs="Palatino Linotype"/>
          <w:sz w:val="21"/>
          <w:szCs w:val="21"/>
        </w:rPr>
        <w:t>of  agency</w:t>
      </w:r>
      <w:proofErr w:type="gramEnd"/>
      <w:r>
        <w:rPr>
          <w:rFonts w:ascii="Palatino Linotype" w:eastAsia="Palatino Linotype" w:hAnsi="Palatino Linotype" w:cs="Palatino Linotype"/>
          <w:sz w:val="21"/>
          <w:szCs w:val="21"/>
        </w:rPr>
        <w:t xml:space="preserve"> liability in this case. </w:t>
      </w:r>
      <w:r>
        <w:rPr>
          <w:rFonts w:ascii="Palatino Linotype" w:eastAsia="Palatino Linotype" w:hAnsi="Palatino Linotype" w:cs="Palatino Linotype"/>
          <w:i/>
          <w:sz w:val="21"/>
          <w:szCs w:val="21"/>
        </w:rPr>
        <w:t>C</w:t>
      </w:r>
      <w:r>
        <w:rPr>
          <w:rFonts w:ascii="Palatino Linotype" w:eastAsia="Palatino Linotype" w:hAnsi="Palatino Linotype" w:cs="Palatino Linotype"/>
          <w:i/>
          <w:sz w:val="21"/>
          <w:szCs w:val="21"/>
        </w:rPr>
        <w:t xml:space="preserve">lackamas Gastroenterology </w:t>
      </w:r>
      <w:proofErr w:type="gramStart"/>
      <w:r>
        <w:rPr>
          <w:rFonts w:ascii="Palatino Linotype" w:eastAsia="Palatino Linotype" w:hAnsi="Palatino Linotype" w:cs="Palatino Linotype"/>
          <w:i/>
          <w:sz w:val="21"/>
          <w:szCs w:val="21"/>
        </w:rPr>
        <w:t>Assocs.,</w:t>
      </w:r>
      <w:proofErr w:type="gramEnd"/>
      <w:r>
        <w:rPr>
          <w:rFonts w:ascii="Palatino Linotype" w:eastAsia="Palatino Linotype" w:hAnsi="Palatino Linotype" w:cs="Palatino Linotype"/>
          <w:i/>
          <w:sz w:val="21"/>
          <w:szCs w:val="21"/>
        </w:rPr>
        <w:t xml:space="preserve"> P.C. v. Wells</w:t>
      </w:r>
      <w:r>
        <w:rPr>
          <w:rFonts w:ascii="Palatino Linotype" w:eastAsia="Palatino Linotype" w:hAnsi="Palatino Linotype" w:cs="Palatino Linotype"/>
          <w:sz w:val="21"/>
          <w:szCs w:val="21"/>
        </w:rPr>
        <w:t xml:space="preserve">, 538 U.S. 440, 444- 45 (2003); </w:t>
      </w:r>
      <w:r>
        <w:rPr>
          <w:rFonts w:ascii="Palatino Linotype" w:eastAsia="Palatino Linotype" w:hAnsi="Palatino Linotype" w:cs="Palatino Linotype"/>
          <w:i/>
          <w:sz w:val="21"/>
          <w:szCs w:val="21"/>
        </w:rPr>
        <w:t>Nationwide Mutual Ins. Co. v. Darden</w:t>
      </w:r>
      <w:r>
        <w:rPr>
          <w:rFonts w:ascii="Palatino Linotype" w:eastAsia="Palatino Linotype" w:hAnsi="Palatino Linotype" w:cs="Palatino Linotype"/>
          <w:sz w:val="21"/>
          <w:szCs w:val="21"/>
        </w:rPr>
        <w:t>, 503 U.S. 318, 323</w:t>
      </w:r>
      <w:r>
        <w:rPr>
          <w:rFonts w:ascii="Palatino Linotype" w:eastAsia="Palatino Linotype" w:hAnsi="Palatino Linotype" w:cs="Palatino Linotype"/>
          <w:spacing w:val="-19"/>
          <w:sz w:val="21"/>
          <w:szCs w:val="21"/>
        </w:rPr>
        <w:t xml:space="preserve"> </w:t>
      </w:r>
      <w:r>
        <w:rPr>
          <w:rFonts w:ascii="Palatino Linotype" w:eastAsia="Palatino Linotype" w:hAnsi="Palatino Linotype" w:cs="Palatino Linotype"/>
          <w:sz w:val="21"/>
          <w:szCs w:val="21"/>
        </w:rPr>
        <w:t>(1992).</w:t>
      </w:r>
    </w:p>
    <w:p w:rsidR="002A1594" w:rsidRDefault="002A1594">
      <w:pPr>
        <w:spacing w:before="12"/>
        <w:rPr>
          <w:rFonts w:ascii="Palatino Linotype" w:eastAsia="Palatino Linotype" w:hAnsi="Palatino Linotype" w:cs="Palatino Linotype"/>
          <w:sz w:val="19"/>
          <w:szCs w:val="19"/>
        </w:rPr>
      </w:pPr>
    </w:p>
    <w:p w:rsidR="002A1594" w:rsidRDefault="00073D1D">
      <w:pPr>
        <w:pStyle w:val="BodyText"/>
        <w:ind w:left="4371" w:right="4369"/>
        <w:jc w:val="center"/>
      </w:pPr>
      <w:r>
        <w:t>19</w:t>
      </w:r>
    </w:p>
    <w:p w:rsidR="002A1594" w:rsidRDefault="002A1594">
      <w:pPr>
        <w:jc w:val="center"/>
        <w:sectPr w:rsidR="002A1594">
          <w:pgSz w:w="12240" w:h="15840"/>
          <w:pgMar w:top="540" w:right="162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spacing w:before="28" w:line="480" w:lineRule="auto"/>
        <w:ind w:left="108" w:right="64"/>
        <w:rPr>
          <w:rFonts w:ascii="Palatino Linotype" w:eastAsia="Palatino Linotype" w:hAnsi="Palatino Linotype" w:cs="Palatino Linotype"/>
        </w:rPr>
      </w:pPr>
      <w:r>
        <w:rPr>
          <w:rFonts w:ascii="Palatino Linotype" w:eastAsia="Palatino Linotype" w:hAnsi="Palatino Linotype" w:cs="Palatino Linotype"/>
        </w:rPr>
        <w:t>“</w:t>
      </w:r>
      <w:proofErr w:type="gramStart"/>
      <w:r>
        <w:rPr>
          <w:rFonts w:ascii="Palatino Linotype" w:eastAsia="Palatino Linotype" w:hAnsi="Palatino Linotype" w:cs="Palatino Linotype"/>
        </w:rPr>
        <w:t>employed</w:t>
      </w:r>
      <w:proofErr w:type="gramEnd"/>
      <w:r>
        <w:rPr>
          <w:rFonts w:ascii="Palatino Linotype" w:eastAsia="Palatino Linotype" w:hAnsi="Palatino Linotype" w:cs="Palatino Linotype"/>
        </w:rPr>
        <w:t xml:space="preserve">” by a different </w:t>
      </w:r>
      <w:r>
        <w:rPr>
          <w:rFonts w:ascii="Palatino Linotype" w:eastAsia="Palatino Linotype" w:hAnsi="Palatino Linotype" w:cs="Palatino Linotype"/>
          <w:spacing w:val="-4"/>
        </w:rPr>
        <w:t>entity.</w:t>
      </w:r>
      <w:r>
        <w:rPr>
          <w:rFonts w:ascii="Palatino Linotype" w:eastAsia="Palatino Linotype" w:hAnsi="Palatino Linotype" w:cs="Palatino Linotype"/>
          <w:spacing w:val="-4"/>
          <w:position w:val="6"/>
          <w:sz w:val="13"/>
          <w:szCs w:val="13"/>
        </w:rPr>
        <w:t xml:space="preserve">6 </w:t>
      </w:r>
      <w:r>
        <w:rPr>
          <w:rFonts w:ascii="Palatino Linotype" w:eastAsia="Palatino Linotype" w:hAnsi="Palatino Linotype" w:cs="Palatino Linotype"/>
          <w:i/>
        </w:rPr>
        <w:t xml:space="preserve">Myers </w:t>
      </w:r>
      <w:r>
        <w:rPr>
          <w:rFonts w:ascii="Palatino Linotype" w:eastAsia="Palatino Linotype" w:hAnsi="Palatino Linotype" w:cs="Palatino Linotype"/>
          <w:i/>
          <w:spacing w:val="-6"/>
        </w:rPr>
        <w:t xml:space="preserve">v. </w:t>
      </w:r>
      <w:r>
        <w:rPr>
          <w:rFonts w:ascii="Palatino Linotype" w:eastAsia="Palatino Linotype" w:hAnsi="Palatino Linotype" w:cs="Palatino Linotype"/>
          <w:i/>
        </w:rPr>
        <w:t>Garfield &amp; Johnson Enters., Inc.</w:t>
      </w:r>
      <w:r>
        <w:rPr>
          <w:rFonts w:ascii="Palatino Linotype" w:eastAsia="Palatino Linotype" w:hAnsi="Palatino Linotype" w:cs="Palatino Linotype"/>
        </w:rPr>
        <w:t xml:space="preserve">, 679 </w:t>
      </w:r>
      <w:r>
        <w:rPr>
          <w:rFonts w:ascii="Palatino Linotype" w:eastAsia="Palatino Linotype" w:hAnsi="Palatino Linotype" w:cs="Palatino Linotype"/>
          <w:spacing w:val="-8"/>
        </w:rPr>
        <w:t xml:space="preserve">F. </w:t>
      </w:r>
      <w:r>
        <w:rPr>
          <w:rFonts w:ascii="Palatino Linotype" w:eastAsia="Palatino Linotype" w:hAnsi="Palatino Linotype" w:cs="Palatino Linotype"/>
        </w:rPr>
        <w:t xml:space="preserve">Supp. 2d 598, 611-12 (E.D. </w:t>
      </w:r>
      <w:r>
        <w:rPr>
          <w:rFonts w:ascii="Palatino Linotype" w:eastAsia="Palatino Linotype" w:hAnsi="Palatino Linotype" w:cs="Palatino Linotype"/>
          <w:spacing w:val="-4"/>
        </w:rPr>
        <w:t>Pa.</w:t>
      </w:r>
      <w:r>
        <w:rPr>
          <w:rFonts w:ascii="Palatino Linotype" w:eastAsia="Palatino Linotype" w:hAnsi="Palatino Linotype" w:cs="Palatino Linotype"/>
        </w:rPr>
        <w:t xml:space="preserve"> 2010).</w:t>
      </w:r>
    </w:p>
    <w:p w:rsidR="002A1594" w:rsidRDefault="00073D1D">
      <w:pPr>
        <w:pStyle w:val="BodyText"/>
        <w:spacing w:before="1" w:line="480" w:lineRule="auto"/>
        <w:ind w:right="101" w:firstLine="719"/>
        <w:jc w:val="both"/>
        <w:rPr>
          <w:rFonts w:cs="Palatino Linotype"/>
        </w:rPr>
      </w:pPr>
      <w:r>
        <w:rPr>
          <w:rFonts w:cs="Palatino Linotype"/>
        </w:rPr>
        <w:t xml:space="preserve">Grane satisfies the </w:t>
      </w:r>
      <w:r>
        <w:rPr>
          <w:rFonts w:cs="Palatino Linotype"/>
          <w:spacing w:val="-9"/>
        </w:rPr>
        <w:t xml:space="preserve">ADA’s </w:t>
      </w:r>
      <w:r>
        <w:rPr>
          <w:rFonts w:cs="Palatino Linotype"/>
        </w:rPr>
        <w:t>employee</w:t>
      </w:r>
      <w:r>
        <w:t xml:space="preserve">-numerosity requirement.  </w:t>
      </w:r>
      <w:proofErr w:type="gramStart"/>
      <w:r>
        <w:t>(ECF No. 131 ¶ 4).</w:t>
      </w:r>
      <w:proofErr w:type="gramEnd"/>
      <w:r>
        <w:t xml:space="preserve">  It is undisputed that Grane, in </w:t>
      </w:r>
      <w:r>
        <w:rPr>
          <w:rFonts w:cs="Palatino Linotype"/>
        </w:rPr>
        <w:t xml:space="preserve">its capacity as an “agent,” directly controlled </w:t>
      </w:r>
      <w:proofErr w:type="gramStart"/>
      <w:r>
        <w:rPr>
          <w:rFonts w:cs="Palatino Linotype"/>
        </w:rPr>
        <w:t>the  applicants’</w:t>
      </w:r>
      <w:proofErr w:type="gramEnd"/>
      <w:r>
        <w:rPr>
          <w:rFonts w:cs="Palatino Linotype"/>
        </w:rPr>
        <w:t xml:space="preserve"> access to “employment opportunities” with</w:t>
      </w:r>
      <w:r>
        <w:rPr>
          <w:rFonts w:cs="Palatino Linotype"/>
        </w:rPr>
        <w:t xml:space="preserve"> the CCC. </w:t>
      </w:r>
      <w:r>
        <w:rPr>
          <w:rFonts w:cs="Palatino Linotype"/>
          <w:i/>
        </w:rPr>
        <w:t>Alam</w:t>
      </w:r>
      <w:r>
        <w:t xml:space="preserve">, </w:t>
      </w:r>
      <w:proofErr w:type="gramStart"/>
      <w:r>
        <w:t xml:space="preserve">709 </w:t>
      </w:r>
      <w:r>
        <w:rPr>
          <w:spacing w:val="-4"/>
        </w:rPr>
        <w:t xml:space="preserve">F.3d </w:t>
      </w:r>
      <w:r>
        <w:t>at 669</w:t>
      </w:r>
      <w:proofErr w:type="gramEnd"/>
      <w:r>
        <w:t xml:space="preserve">. The only remaining question is whether the EEOC must independently establish the </w:t>
      </w:r>
      <w:r>
        <w:rPr>
          <w:rFonts w:cs="Palatino Linotype"/>
          <w:spacing w:val="-6"/>
        </w:rPr>
        <w:t xml:space="preserve">CCC’s </w:t>
      </w:r>
      <w:r>
        <w:rPr>
          <w:rFonts w:cs="Palatino Linotype"/>
        </w:rPr>
        <w:t>status as an “employer” in order to hold Grane liable as an</w:t>
      </w:r>
      <w:r>
        <w:rPr>
          <w:rFonts w:cs="Palatino Linotype"/>
          <w:spacing w:val="10"/>
        </w:rPr>
        <w:t xml:space="preserve"> </w:t>
      </w:r>
      <w:r>
        <w:rPr>
          <w:rFonts w:cs="Palatino Linotype"/>
        </w:rPr>
        <w:t>“agent.”</w:t>
      </w:r>
    </w:p>
    <w:p w:rsidR="002A1594" w:rsidRDefault="00073D1D">
      <w:pPr>
        <w:pStyle w:val="BodyText"/>
        <w:spacing w:before="0" w:line="480" w:lineRule="auto"/>
        <w:ind w:right="101" w:firstLine="719"/>
        <w:jc w:val="both"/>
        <w:rPr>
          <w:rFonts w:cs="Palatino Linotype"/>
        </w:rPr>
      </w:pPr>
      <w:r>
        <w:t xml:space="preserve">The EEOC concedes that every alleged act of discrimination in this case occurred before January 1, 2010. (ECF No. 96 </w:t>
      </w:r>
      <w:proofErr w:type="gramStart"/>
      <w:r>
        <w:t>at 9 n.2</w:t>
      </w:r>
      <w:proofErr w:type="gramEnd"/>
      <w:r>
        <w:t xml:space="preserve">). </w:t>
      </w:r>
      <w:r>
        <w:rPr>
          <w:spacing w:val="-2"/>
        </w:rPr>
        <w:t xml:space="preserve">The </w:t>
      </w:r>
      <w:r>
        <w:t xml:space="preserve">CCC </w:t>
      </w:r>
      <w:r>
        <w:rPr>
          <w:spacing w:val="-3"/>
        </w:rPr>
        <w:t xml:space="preserve">was </w:t>
      </w:r>
      <w:r>
        <w:t xml:space="preserve">not operational before that date. (ECF No. 133-3 at 4). </w:t>
      </w:r>
      <w:r>
        <w:rPr>
          <w:rFonts w:cs="Palatino Linotype"/>
        </w:rPr>
        <w:t xml:space="preserve">The </w:t>
      </w:r>
      <w:r>
        <w:rPr>
          <w:rFonts w:cs="Palatino Linotype"/>
          <w:spacing w:val="-6"/>
        </w:rPr>
        <w:t xml:space="preserve">CCC’s </w:t>
      </w:r>
      <w:r>
        <w:rPr>
          <w:rFonts w:cs="Palatino Linotype"/>
        </w:rPr>
        <w:t xml:space="preserve">status as an “employer” during the hiring period </w:t>
      </w:r>
      <w:r>
        <w:t>t</w:t>
      </w:r>
      <w:r>
        <w:t>urns on whether it had 15 or more employees for each working day in each of 20 or more calendar weeks in 2008 or 2009. 42 U.S.C. § 12111(5</w:t>
      </w:r>
      <w:proofErr w:type="gramStart"/>
      <w:r>
        <w:t>)(</w:t>
      </w:r>
      <w:proofErr w:type="gramEnd"/>
      <w:r>
        <w:t>A). Given that the CCC did not employ anyone prior to 2010, it is not clear how the EEOC believes that the CCC quali</w:t>
      </w:r>
      <w:r>
        <w:t xml:space="preserve">fies </w:t>
      </w:r>
      <w:r>
        <w:rPr>
          <w:rFonts w:cs="Palatino Linotype"/>
        </w:rPr>
        <w:t xml:space="preserve">as a “covered </w:t>
      </w:r>
      <w:r>
        <w:rPr>
          <w:rFonts w:cs="Palatino Linotype"/>
          <w:spacing w:val="-4"/>
        </w:rPr>
        <w:t xml:space="preserve">entity.”   </w:t>
      </w:r>
      <w:proofErr w:type="gramStart"/>
      <w:r>
        <w:t>(ECF No. 1 ¶ 10)</w:t>
      </w:r>
      <w:r>
        <w:rPr>
          <w:rFonts w:cs="Palatino Linotype"/>
        </w:rPr>
        <w:t>.</w:t>
      </w:r>
      <w:proofErr w:type="gramEnd"/>
      <w:r>
        <w:rPr>
          <w:rFonts w:cs="Palatino Linotype"/>
        </w:rPr>
        <w:t xml:space="preserve">     </w:t>
      </w:r>
      <w:r>
        <w:rPr>
          <w:rFonts w:cs="Palatino Linotype"/>
          <w:spacing w:val="45"/>
        </w:rPr>
        <w:t xml:space="preserve"> </w:t>
      </w:r>
      <w:r>
        <w:rPr>
          <w:rFonts w:cs="Palatino Linotype"/>
        </w:rPr>
        <w:t xml:space="preserve">In determining </w:t>
      </w:r>
      <w:r>
        <w:rPr>
          <w:rFonts w:cs="Palatino Linotype"/>
          <w:spacing w:val="-4"/>
        </w:rPr>
        <w:t xml:space="preserve">Grane’s </w:t>
      </w:r>
      <w:r>
        <w:rPr>
          <w:rFonts w:cs="Palatino Linotype"/>
        </w:rPr>
        <w:t>potential liability as an</w:t>
      </w:r>
    </w:p>
    <w:p w:rsidR="002A1594" w:rsidRDefault="002A1594">
      <w:pPr>
        <w:spacing w:before="13"/>
        <w:rPr>
          <w:rFonts w:ascii="Palatino Linotype" w:eastAsia="Palatino Linotype" w:hAnsi="Palatino Linotype" w:cs="Palatino Linotype"/>
          <w:sz w:val="7"/>
          <w:szCs w:val="7"/>
        </w:rPr>
      </w:pPr>
    </w:p>
    <w:p w:rsidR="002A1594" w:rsidRDefault="00073D1D">
      <w:pPr>
        <w:spacing w:line="20" w:lineRule="exact"/>
        <w:ind w:left="102"/>
        <w:rPr>
          <w:rFonts w:ascii="Palatino Linotype" w:eastAsia="Palatino Linotype" w:hAnsi="Palatino Linotype" w:cs="Palatino Linotype"/>
          <w:sz w:val="2"/>
          <w:szCs w:val="2"/>
        </w:rPr>
      </w:pPr>
      <w:r>
        <w:rPr>
          <w:rFonts w:ascii="Palatino Linotype" w:eastAsia="Palatino Linotype" w:hAnsi="Palatino Linotype" w:cs="Palatino Linotype"/>
          <w:sz w:val="2"/>
          <w:szCs w:val="2"/>
        </w:rPr>
      </w:r>
      <w:r>
        <w:rPr>
          <w:rFonts w:ascii="Palatino Linotype" w:eastAsia="Palatino Linotype" w:hAnsi="Palatino Linotype" w:cs="Palatino Linotype"/>
          <w:sz w:val="2"/>
          <w:szCs w:val="2"/>
        </w:rPr>
        <w:pict>
          <v:group id="_x0000_s1061" style="width:144.65pt;height:.6pt;mso-position-horizontal-relative:char;mso-position-vertical-relative:line" coordsize="2893,12">
            <v:group id="_x0000_s1062" style="position:absolute;left:6;top:6;width:2881;height:2" coordorigin="6,6" coordsize="2881,2">
              <v:shape id="_x0000_s1063" style="position:absolute;left:6;top:6;width:2881;height:2" coordorigin="6,6" coordsize="2881,0" path="m6,6r2880,e" filled="f" strokeweight=".6pt">
                <v:path arrowok="t"/>
              </v:shape>
            </v:group>
            <w10:wrap type="none"/>
            <w10:anchorlock/>
          </v:group>
        </w:pict>
      </w:r>
    </w:p>
    <w:p w:rsidR="002A1594" w:rsidRDefault="002A1594">
      <w:pPr>
        <w:spacing w:before="2"/>
        <w:rPr>
          <w:rFonts w:ascii="Palatino Linotype" w:eastAsia="Palatino Linotype" w:hAnsi="Palatino Linotype" w:cs="Palatino Linotype"/>
          <w:sz w:val="5"/>
          <w:szCs w:val="5"/>
        </w:rPr>
      </w:pPr>
    </w:p>
    <w:p w:rsidR="002A1594" w:rsidRDefault="00073D1D">
      <w:pPr>
        <w:spacing w:before="33"/>
        <w:ind w:left="108" w:right="101"/>
        <w:jc w:val="both"/>
        <w:rPr>
          <w:rFonts w:ascii="Palatino Linotype" w:eastAsia="Palatino Linotype" w:hAnsi="Palatino Linotype" w:cs="Palatino Linotype"/>
          <w:sz w:val="21"/>
          <w:szCs w:val="21"/>
        </w:rPr>
      </w:pPr>
      <w:r>
        <w:rPr>
          <w:rFonts w:ascii="Palatino Linotype" w:eastAsia="Palatino Linotype" w:hAnsi="Palatino Linotype" w:cs="Palatino Linotype"/>
          <w:position w:val="6"/>
          <w:sz w:val="13"/>
          <w:szCs w:val="13"/>
        </w:rPr>
        <w:t xml:space="preserve">6 </w:t>
      </w:r>
      <w:r>
        <w:rPr>
          <w:rFonts w:ascii="Palatino Linotype" w:eastAsia="Palatino Linotype" w:hAnsi="Palatino Linotype" w:cs="Palatino Linotype"/>
          <w:sz w:val="21"/>
          <w:szCs w:val="21"/>
        </w:rPr>
        <w:t xml:space="preserve">The EEOC appears to base its theory of agency liability on </w:t>
      </w:r>
      <w:r>
        <w:rPr>
          <w:rFonts w:ascii="Palatino Linotype" w:eastAsia="Palatino Linotype" w:hAnsi="Palatino Linotype" w:cs="Palatino Linotype"/>
          <w:i/>
          <w:sz w:val="21"/>
          <w:szCs w:val="21"/>
        </w:rPr>
        <w:t>Covington v. Int’l Ass</w:t>
      </w:r>
      <w:r>
        <w:rPr>
          <w:rFonts w:ascii="Palatino Linotype" w:eastAsia="Palatino Linotype" w:hAnsi="Palatino Linotype" w:cs="Palatino Linotype"/>
          <w:i/>
          <w:sz w:val="21"/>
          <w:szCs w:val="21"/>
        </w:rPr>
        <w:t>’n of Approved Basketball Officials</w:t>
      </w:r>
      <w:r>
        <w:rPr>
          <w:rFonts w:ascii="Palatino Linotype" w:eastAsia="Palatino Linotype" w:hAnsi="Palatino Linotype" w:cs="Palatino Linotype"/>
          <w:sz w:val="21"/>
          <w:szCs w:val="21"/>
        </w:rPr>
        <w:t xml:space="preserve">, 710 F.3d 114, 119-20 (3d Cir. 2013). (ECF No. 96 at 7-8). It is not </w:t>
      </w:r>
      <w:proofErr w:type="gramStart"/>
      <w:r>
        <w:rPr>
          <w:rFonts w:ascii="Palatino Linotype" w:eastAsia="Palatino Linotype" w:hAnsi="Palatino Linotype" w:cs="Palatino Linotype"/>
          <w:sz w:val="21"/>
          <w:szCs w:val="21"/>
        </w:rPr>
        <w:t>entirely  clear</w:t>
      </w:r>
      <w:proofErr w:type="gramEnd"/>
      <w:r>
        <w:rPr>
          <w:rFonts w:ascii="Palatino Linotype" w:eastAsia="Palatino Linotype" w:hAnsi="Palatino Linotype" w:cs="Palatino Linotype"/>
          <w:sz w:val="21"/>
          <w:szCs w:val="21"/>
        </w:rPr>
        <w:t xml:space="preserve"> whether </w:t>
      </w:r>
      <w:r>
        <w:rPr>
          <w:rFonts w:ascii="Palatino Linotype" w:eastAsia="Palatino Linotype" w:hAnsi="Palatino Linotype" w:cs="Palatino Linotype"/>
          <w:i/>
          <w:sz w:val="21"/>
          <w:szCs w:val="21"/>
        </w:rPr>
        <w:t xml:space="preserve">Covington </w:t>
      </w:r>
      <w:r>
        <w:rPr>
          <w:rFonts w:ascii="Palatino Linotype" w:eastAsia="Palatino Linotype" w:hAnsi="Palatino Linotype" w:cs="Palatino Linotype"/>
          <w:sz w:val="21"/>
          <w:szCs w:val="21"/>
        </w:rPr>
        <w:t xml:space="preserve">is squarely applicable to this case. The principal defendant in </w:t>
      </w:r>
      <w:r>
        <w:rPr>
          <w:rFonts w:ascii="Palatino Linotype" w:eastAsia="Palatino Linotype" w:hAnsi="Palatino Linotype" w:cs="Palatino Linotype"/>
          <w:i/>
          <w:sz w:val="21"/>
          <w:szCs w:val="21"/>
        </w:rPr>
        <w:t xml:space="preserve">Covington </w:t>
      </w:r>
      <w:r>
        <w:rPr>
          <w:rFonts w:ascii="Palatino Linotype" w:eastAsia="Palatino Linotype" w:hAnsi="Palatino Linotype" w:cs="Palatino Linotype"/>
          <w:sz w:val="21"/>
          <w:szCs w:val="21"/>
        </w:rPr>
        <w:t>qualified as an “employment agency” under T</w:t>
      </w:r>
      <w:r>
        <w:rPr>
          <w:rFonts w:ascii="Palatino Linotype" w:eastAsia="Palatino Linotype" w:hAnsi="Palatino Linotype" w:cs="Palatino Linotype"/>
          <w:sz w:val="21"/>
          <w:szCs w:val="21"/>
        </w:rPr>
        <w:t xml:space="preserve">itle VII. </w:t>
      </w:r>
      <w:r>
        <w:rPr>
          <w:rFonts w:ascii="Palatino Linotype" w:eastAsia="Palatino Linotype" w:hAnsi="Palatino Linotype" w:cs="Palatino Linotype"/>
          <w:i/>
          <w:sz w:val="21"/>
          <w:szCs w:val="21"/>
        </w:rPr>
        <w:t>Covington</w:t>
      </w:r>
      <w:r>
        <w:rPr>
          <w:rFonts w:ascii="Palatino Linotype" w:eastAsia="Palatino Linotype" w:hAnsi="Palatino Linotype" w:cs="Palatino Linotype"/>
          <w:sz w:val="21"/>
          <w:szCs w:val="21"/>
        </w:rPr>
        <w:t xml:space="preserve">, </w:t>
      </w:r>
      <w:proofErr w:type="gramStart"/>
      <w:r>
        <w:rPr>
          <w:rFonts w:ascii="Palatino Linotype" w:eastAsia="Palatino Linotype" w:hAnsi="Palatino Linotype" w:cs="Palatino Linotype"/>
          <w:sz w:val="21"/>
          <w:szCs w:val="21"/>
        </w:rPr>
        <w:t>710 F.3d at 119</w:t>
      </w:r>
      <w:proofErr w:type="gramEnd"/>
      <w:r>
        <w:rPr>
          <w:rFonts w:ascii="Palatino Linotype" w:eastAsia="Palatino Linotype" w:hAnsi="Palatino Linotype" w:cs="Palatino Linotype"/>
          <w:sz w:val="21"/>
          <w:szCs w:val="21"/>
        </w:rPr>
        <w:t>. The term “employment agency” is defined as “any person regularly undertaking with or without compensation to procure employees for an employer or to procure for employees opportunities to work for an employer and inclu</w:t>
      </w:r>
      <w:r>
        <w:rPr>
          <w:rFonts w:ascii="Palatino Linotype" w:eastAsia="Palatino Linotype" w:hAnsi="Palatino Linotype" w:cs="Palatino Linotype"/>
          <w:sz w:val="21"/>
          <w:szCs w:val="21"/>
        </w:rPr>
        <w:t xml:space="preserve">des an agent of such a person.” </w:t>
      </w:r>
      <w:proofErr w:type="gramStart"/>
      <w:r>
        <w:rPr>
          <w:rFonts w:ascii="Palatino Linotype" w:eastAsia="Palatino Linotype" w:hAnsi="Palatino Linotype" w:cs="Palatino Linotype"/>
          <w:sz w:val="21"/>
          <w:szCs w:val="21"/>
        </w:rPr>
        <w:t>42 U.S.C. § 2000e(c).</w:t>
      </w:r>
      <w:proofErr w:type="gramEnd"/>
      <w:r>
        <w:rPr>
          <w:rFonts w:ascii="Palatino Linotype" w:eastAsia="Palatino Linotype" w:hAnsi="Palatino Linotype" w:cs="Palatino Linotype"/>
          <w:sz w:val="21"/>
          <w:szCs w:val="21"/>
        </w:rPr>
        <w:t xml:space="preserve"> The ADA incorporates this definition by reference. </w:t>
      </w:r>
      <w:proofErr w:type="gramStart"/>
      <w:r>
        <w:rPr>
          <w:rFonts w:ascii="Palatino Linotype" w:eastAsia="Palatino Linotype" w:hAnsi="Palatino Linotype" w:cs="Palatino Linotype"/>
          <w:sz w:val="21"/>
          <w:szCs w:val="21"/>
        </w:rPr>
        <w:t>42 U.S.C. § 12111(7).</w:t>
      </w:r>
      <w:proofErr w:type="gramEnd"/>
      <w:r>
        <w:rPr>
          <w:rFonts w:ascii="Palatino Linotype" w:eastAsia="Palatino Linotype" w:hAnsi="Palatino Linotype" w:cs="Palatino Linotype"/>
          <w:sz w:val="21"/>
          <w:szCs w:val="21"/>
        </w:rPr>
        <w:t xml:space="preserve"> The Court does not understand the EEOC to argue that Grane qualified as an “employment agency” during the relevant period. Instea</w:t>
      </w:r>
      <w:r>
        <w:rPr>
          <w:rFonts w:ascii="Palatino Linotype" w:eastAsia="Palatino Linotype" w:hAnsi="Palatino Linotype" w:cs="Palatino Linotype"/>
          <w:sz w:val="21"/>
          <w:szCs w:val="21"/>
        </w:rPr>
        <w:t xml:space="preserve">d, the EEOC seeks to hold Grane liable as an “agent” of a distinct “employer.” ECF No. 96 at 7. In light of this difference, the language in </w:t>
      </w:r>
      <w:r>
        <w:rPr>
          <w:rFonts w:ascii="Palatino Linotype" w:eastAsia="Palatino Linotype" w:hAnsi="Palatino Linotype" w:cs="Palatino Linotype"/>
          <w:i/>
          <w:sz w:val="21"/>
          <w:szCs w:val="21"/>
        </w:rPr>
        <w:t xml:space="preserve">Covington </w:t>
      </w:r>
      <w:r>
        <w:rPr>
          <w:rFonts w:ascii="Palatino Linotype" w:eastAsia="Palatino Linotype" w:hAnsi="Palatino Linotype" w:cs="Palatino Linotype"/>
          <w:sz w:val="21"/>
          <w:szCs w:val="21"/>
        </w:rPr>
        <w:t xml:space="preserve">relied upon by the EEOC does not necessarily support its theory of agency liability. </w:t>
      </w:r>
      <w:r>
        <w:rPr>
          <w:rFonts w:ascii="Palatino Linotype" w:eastAsia="Palatino Linotype" w:hAnsi="Palatino Linotype" w:cs="Palatino Linotype"/>
          <w:i/>
          <w:sz w:val="21"/>
          <w:szCs w:val="21"/>
        </w:rPr>
        <w:t>Covington</w:t>
      </w:r>
      <w:r>
        <w:rPr>
          <w:rFonts w:ascii="Palatino Linotype" w:eastAsia="Palatino Linotype" w:hAnsi="Palatino Linotype" w:cs="Palatino Linotype"/>
          <w:sz w:val="21"/>
          <w:szCs w:val="21"/>
        </w:rPr>
        <w:t xml:space="preserve">, </w:t>
      </w:r>
      <w:proofErr w:type="gramStart"/>
      <w:r>
        <w:rPr>
          <w:rFonts w:ascii="Palatino Linotype" w:eastAsia="Palatino Linotype" w:hAnsi="Palatino Linotype" w:cs="Palatino Linotype"/>
          <w:sz w:val="21"/>
          <w:szCs w:val="21"/>
        </w:rPr>
        <w:t xml:space="preserve">710 F.3d </w:t>
      </w:r>
      <w:r>
        <w:rPr>
          <w:rFonts w:ascii="Palatino Linotype" w:eastAsia="Palatino Linotype" w:hAnsi="Palatino Linotype" w:cs="Palatino Linotype"/>
          <w:sz w:val="21"/>
          <w:szCs w:val="21"/>
        </w:rPr>
        <w:t>at 119-20</w:t>
      </w:r>
      <w:proofErr w:type="gramEnd"/>
      <w:r>
        <w:rPr>
          <w:rFonts w:ascii="Palatino Linotype" w:eastAsia="Palatino Linotype" w:hAnsi="Palatino Linotype" w:cs="Palatino Linotype"/>
          <w:sz w:val="21"/>
          <w:szCs w:val="21"/>
        </w:rPr>
        <w:t xml:space="preserve">. Nonetheless, the adoption of that theory in other cases suggests that it should be applied in this case. </w:t>
      </w:r>
      <w:r>
        <w:rPr>
          <w:rFonts w:ascii="Palatino Linotype" w:eastAsia="Palatino Linotype" w:hAnsi="Palatino Linotype" w:cs="Palatino Linotype"/>
          <w:i/>
          <w:sz w:val="21"/>
          <w:szCs w:val="21"/>
        </w:rPr>
        <w:t>DeVito v. Chicago Park District</w:t>
      </w:r>
      <w:r>
        <w:rPr>
          <w:rFonts w:ascii="Palatino Linotype" w:eastAsia="Palatino Linotype" w:hAnsi="Palatino Linotype" w:cs="Palatino Linotype"/>
          <w:sz w:val="21"/>
          <w:szCs w:val="21"/>
        </w:rPr>
        <w:t xml:space="preserve">, 83 F.3d 878, 882 (7th Cir. 1996); </w:t>
      </w:r>
      <w:r>
        <w:rPr>
          <w:rFonts w:ascii="Palatino Linotype" w:eastAsia="Palatino Linotype" w:hAnsi="Palatino Linotype" w:cs="Palatino Linotype"/>
          <w:i/>
          <w:sz w:val="21"/>
          <w:szCs w:val="21"/>
        </w:rPr>
        <w:t xml:space="preserve">Nealey v. Univ. Health </w:t>
      </w:r>
      <w:proofErr w:type="gramStart"/>
      <w:r>
        <w:rPr>
          <w:rFonts w:ascii="Palatino Linotype" w:eastAsia="Palatino Linotype" w:hAnsi="Palatino Linotype" w:cs="Palatino Linotype"/>
          <w:i/>
          <w:sz w:val="21"/>
          <w:szCs w:val="21"/>
        </w:rPr>
        <w:t>Servs.,</w:t>
      </w:r>
      <w:proofErr w:type="gramEnd"/>
      <w:r>
        <w:rPr>
          <w:rFonts w:ascii="Palatino Linotype" w:eastAsia="Palatino Linotype" w:hAnsi="Palatino Linotype" w:cs="Palatino Linotype"/>
          <w:i/>
          <w:sz w:val="21"/>
          <w:szCs w:val="21"/>
        </w:rPr>
        <w:t xml:space="preserve"> Inc.</w:t>
      </w:r>
      <w:r>
        <w:rPr>
          <w:rFonts w:ascii="Palatino Linotype" w:eastAsia="Palatino Linotype" w:hAnsi="Palatino Linotype" w:cs="Palatino Linotype"/>
          <w:sz w:val="21"/>
          <w:szCs w:val="21"/>
        </w:rPr>
        <w:t xml:space="preserve">, 114 F. Supp. 2d 1358, 1368-69 (S.D. </w:t>
      </w:r>
      <w:r>
        <w:rPr>
          <w:rFonts w:ascii="Palatino Linotype" w:eastAsia="Palatino Linotype" w:hAnsi="Palatino Linotype" w:cs="Palatino Linotype"/>
          <w:sz w:val="21"/>
          <w:szCs w:val="21"/>
        </w:rPr>
        <w:t>Ga.</w:t>
      </w:r>
      <w:r>
        <w:rPr>
          <w:rFonts w:ascii="Palatino Linotype" w:eastAsia="Palatino Linotype" w:hAnsi="Palatino Linotype" w:cs="Palatino Linotype"/>
          <w:spacing w:val="-22"/>
          <w:sz w:val="21"/>
          <w:szCs w:val="21"/>
        </w:rPr>
        <w:t xml:space="preserve"> </w:t>
      </w:r>
      <w:r>
        <w:rPr>
          <w:rFonts w:ascii="Palatino Linotype" w:eastAsia="Palatino Linotype" w:hAnsi="Palatino Linotype" w:cs="Palatino Linotype"/>
          <w:sz w:val="21"/>
          <w:szCs w:val="21"/>
        </w:rPr>
        <w:t>2000).</w:t>
      </w:r>
    </w:p>
    <w:p w:rsidR="002A1594" w:rsidRDefault="002A1594">
      <w:pPr>
        <w:spacing w:before="12"/>
        <w:rPr>
          <w:rFonts w:ascii="Palatino Linotype" w:eastAsia="Palatino Linotype" w:hAnsi="Palatino Linotype" w:cs="Palatino Linotype"/>
          <w:sz w:val="19"/>
          <w:szCs w:val="19"/>
        </w:rPr>
      </w:pPr>
    </w:p>
    <w:p w:rsidR="002A1594" w:rsidRDefault="00073D1D">
      <w:pPr>
        <w:pStyle w:val="BodyText"/>
        <w:ind w:left="4371" w:right="4369"/>
        <w:jc w:val="center"/>
      </w:pPr>
      <w:r>
        <w:t>20</w:t>
      </w:r>
    </w:p>
    <w:p w:rsidR="002A1594" w:rsidRDefault="002A1594">
      <w:pPr>
        <w:jc w:val="center"/>
        <w:sectPr w:rsidR="002A1594">
          <w:headerReference w:type="default" r:id="rId11"/>
          <w:pgSz w:w="12240" w:h="15840"/>
          <w:pgMar w:top="540" w:right="162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64"/>
      </w:pPr>
      <w:r>
        <w:rPr>
          <w:rFonts w:cs="Palatino Linotype"/>
        </w:rPr>
        <w:t>“</w:t>
      </w:r>
      <w:proofErr w:type="gramStart"/>
      <w:r>
        <w:rPr>
          <w:rFonts w:cs="Palatino Linotype"/>
        </w:rPr>
        <w:t>agent</w:t>
      </w:r>
      <w:proofErr w:type="gramEnd"/>
      <w:r>
        <w:rPr>
          <w:rFonts w:cs="Palatino Linotype"/>
        </w:rPr>
        <w:t xml:space="preserve">” of the CCC, the Court will assume </w:t>
      </w:r>
      <w:r>
        <w:rPr>
          <w:rFonts w:cs="Palatino Linotype"/>
          <w:i/>
        </w:rPr>
        <w:t xml:space="preserve">arguendo </w:t>
      </w:r>
      <w:r>
        <w:t xml:space="preserve">that the CCC was </w:t>
      </w:r>
      <w:r>
        <w:rPr>
          <w:rFonts w:cs="Palatino Linotype"/>
        </w:rPr>
        <w:t xml:space="preserve">not an “employer” </w:t>
      </w:r>
      <w:r>
        <w:t>within the meaning of Title I when the alleged acts of discrimination took</w:t>
      </w:r>
      <w:r>
        <w:rPr>
          <w:spacing w:val="-21"/>
        </w:rPr>
        <w:t xml:space="preserve"> </w:t>
      </w:r>
      <w:r>
        <w:t>place.</w:t>
      </w:r>
    </w:p>
    <w:p w:rsidR="002A1594" w:rsidRDefault="00073D1D">
      <w:pPr>
        <w:pStyle w:val="BodyText"/>
        <w:spacing w:before="1" w:line="480" w:lineRule="auto"/>
        <w:ind w:right="101" w:firstLine="719"/>
        <w:jc w:val="both"/>
        <w:rPr>
          <w:rFonts w:cs="Palatino Linotype"/>
        </w:rPr>
      </w:pPr>
      <w:r>
        <w:rPr>
          <w:rFonts w:cs="Palatino Linotype"/>
        </w:rPr>
        <w:t xml:space="preserve">The </w:t>
      </w:r>
      <w:r>
        <w:rPr>
          <w:rFonts w:cs="Palatino Linotype"/>
          <w:spacing w:val="-9"/>
        </w:rPr>
        <w:t xml:space="preserve">ADA’s </w:t>
      </w:r>
      <w:r>
        <w:rPr>
          <w:rFonts w:cs="Palatino Linotype"/>
        </w:rPr>
        <w:t xml:space="preserve">statutory definition requires Grane to be an “agent” </w:t>
      </w:r>
      <w:r>
        <w:rPr>
          <w:rFonts w:cs="Palatino Linotype"/>
          <w:i/>
        </w:rPr>
        <w:t xml:space="preserve">of an employer </w:t>
      </w:r>
      <w:r>
        <w:t>to be liable under Title I.  42 U.S.C. § 12111(5</w:t>
      </w:r>
      <w:proofErr w:type="gramStart"/>
      <w:r>
        <w:t>)(</w:t>
      </w:r>
      <w:proofErr w:type="gramEnd"/>
      <w:r>
        <w:t xml:space="preserve">A).  This question must be answered in </w:t>
      </w:r>
      <w:proofErr w:type="gramStart"/>
      <w:r>
        <w:t>relatio</w:t>
      </w:r>
      <w:r>
        <w:t xml:space="preserve">n  </w:t>
      </w:r>
      <w:r>
        <w:rPr>
          <w:rFonts w:cs="Palatino Linotype"/>
        </w:rPr>
        <w:t>to</w:t>
      </w:r>
      <w:proofErr w:type="gramEnd"/>
      <w:r>
        <w:rPr>
          <w:rFonts w:cs="Palatino Linotype"/>
        </w:rPr>
        <w:t xml:space="preserve"> the calendar year in which the challenged “discrimination” occurred. </w:t>
      </w:r>
      <w:proofErr w:type="gramStart"/>
      <w:r>
        <w:rPr>
          <w:rFonts w:cs="Palatino Linotype"/>
          <w:i/>
        </w:rPr>
        <w:t xml:space="preserve">EEOC </w:t>
      </w:r>
      <w:r>
        <w:rPr>
          <w:rFonts w:cs="Palatino Linotype"/>
          <w:i/>
          <w:spacing w:val="-6"/>
        </w:rPr>
        <w:t xml:space="preserve">v. </w:t>
      </w:r>
      <w:r>
        <w:rPr>
          <w:rFonts w:cs="Palatino Linotype"/>
          <w:i/>
        </w:rPr>
        <w:t>Metro.</w:t>
      </w:r>
      <w:proofErr w:type="gramEnd"/>
      <w:r>
        <w:rPr>
          <w:rFonts w:cs="Palatino Linotype"/>
          <w:i/>
        </w:rPr>
        <w:t xml:space="preserve"> </w:t>
      </w:r>
      <w:proofErr w:type="gramStart"/>
      <w:r>
        <w:rPr>
          <w:rFonts w:cs="Palatino Linotype"/>
          <w:i/>
        </w:rPr>
        <w:t>Atlanta Girls’ Club, Inc.</w:t>
      </w:r>
      <w:r>
        <w:t xml:space="preserve">, 416 </w:t>
      </w:r>
      <w:r>
        <w:rPr>
          <w:spacing w:val="-8"/>
        </w:rPr>
        <w:t xml:space="preserve">F. </w:t>
      </w:r>
      <w:r>
        <w:t>Supp. 1006, 1011-12 (N.D. Ga. 1976).</w:t>
      </w:r>
      <w:proofErr w:type="gramEnd"/>
      <w:r>
        <w:t xml:space="preserve"> </w:t>
      </w:r>
      <w:r>
        <w:rPr>
          <w:spacing w:val="-2"/>
        </w:rPr>
        <w:t xml:space="preserve">The </w:t>
      </w:r>
      <w:r>
        <w:t xml:space="preserve">parties agree that </w:t>
      </w:r>
      <w:r>
        <w:rPr>
          <w:rFonts w:cs="Palatino Linotype"/>
        </w:rPr>
        <w:t xml:space="preserve">Grane acted as the </w:t>
      </w:r>
      <w:r>
        <w:rPr>
          <w:rFonts w:cs="Palatino Linotype"/>
          <w:spacing w:val="-6"/>
        </w:rPr>
        <w:t xml:space="preserve">CCC’s </w:t>
      </w:r>
      <w:r>
        <w:rPr>
          <w:rFonts w:cs="Palatino Linotype"/>
        </w:rPr>
        <w:t xml:space="preserve">“agent” </w:t>
      </w:r>
      <w:r>
        <w:t xml:space="preserve">in 2009. </w:t>
      </w:r>
      <w:proofErr w:type="gramStart"/>
      <w:r>
        <w:t>(ECF No. 131 ¶ 6).</w:t>
      </w:r>
      <w:proofErr w:type="gramEnd"/>
      <w:r>
        <w:t xml:space="preserve"> Assuming th</w:t>
      </w:r>
      <w:r>
        <w:t xml:space="preserve">at the CCC did </w:t>
      </w:r>
      <w:r>
        <w:rPr>
          <w:rFonts w:cs="Palatino Linotype"/>
        </w:rPr>
        <w:t>not become an “employer” until 2010, the instant case pre</w:t>
      </w:r>
      <w:r>
        <w:t xml:space="preserve">sents the question of whether an entity independently satisfying the employee-numerosity requirement can be sued in its capacity as a </w:t>
      </w:r>
      <w:r>
        <w:rPr>
          <w:rFonts w:cs="Palatino Linotype"/>
          <w:i/>
        </w:rPr>
        <w:t xml:space="preserve">present </w:t>
      </w:r>
      <w:r>
        <w:rPr>
          <w:rFonts w:cs="Palatino Linotype"/>
        </w:rPr>
        <w:t xml:space="preserve">“agent” of </w:t>
      </w:r>
      <w:r>
        <w:t xml:space="preserve">a </w:t>
      </w:r>
      <w:r>
        <w:rPr>
          <w:rFonts w:cs="Palatino Linotype"/>
          <w:i/>
        </w:rPr>
        <w:t>future</w:t>
      </w:r>
      <w:r>
        <w:rPr>
          <w:rFonts w:cs="Palatino Linotype"/>
          <w:i/>
          <w:spacing w:val="-3"/>
        </w:rPr>
        <w:t xml:space="preserve"> </w:t>
      </w:r>
      <w:r>
        <w:rPr>
          <w:rFonts w:cs="Palatino Linotype"/>
          <w:spacing w:val="-3"/>
        </w:rPr>
        <w:t>“employer.”</w:t>
      </w:r>
    </w:p>
    <w:p w:rsidR="002A1594" w:rsidRDefault="00073D1D">
      <w:pPr>
        <w:pStyle w:val="BodyText"/>
        <w:spacing w:before="0" w:line="480" w:lineRule="auto"/>
        <w:ind w:right="102" w:firstLine="719"/>
        <w:jc w:val="both"/>
      </w:pPr>
      <w:r>
        <w:t xml:space="preserve">In </w:t>
      </w:r>
      <w:r>
        <w:rPr>
          <w:rFonts w:cs="Palatino Linotype"/>
          <w:i/>
        </w:rPr>
        <w:t xml:space="preserve">Robinson </w:t>
      </w:r>
      <w:r>
        <w:rPr>
          <w:rFonts w:cs="Palatino Linotype"/>
          <w:i/>
          <w:spacing w:val="-6"/>
        </w:rPr>
        <w:t xml:space="preserve">v. </w:t>
      </w:r>
      <w:r>
        <w:rPr>
          <w:rFonts w:cs="Palatino Linotype"/>
          <w:i/>
        </w:rPr>
        <w:t>Shell Oil Co.</w:t>
      </w:r>
      <w:r>
        <w:t xml:space="preserve">, 519 U.S. 337, 346 (1997), the Supreme Court construed </w:t>
      </w:r>
      <w:r>
        <w:rPr>
          <w:rFonts w:cs="Palatino Linotype"/>
        </w:rPr>
        <w:t xml:space="preserve">the word “employees” appearing in Title </w:t>
      </w:r>
      <w:r>
        <w:rPr>
          <w:rFonts w:cs="Palatino Linotype"/>
          <w:spacing w:val="-5"/>
        </w:rPr>
        <w:t xml:space="preserve">VII’s </w:t>
      </w:r>
      <w:r>
        <w:rPr>
          <w:rFonts w:cs="Palatino Linotype"/>
        </w:rPr>
        <w:t>anti</w:t>
      </w:r>
      <w:r>
        <w:t xml:space="preserve">-retaliation provision to include both current and former employees of a covered </w:t>
      </w:r>
      <w:r>
        <w:rPr>
          <w:spacing w:val="-3"/>
        </w:rPr>
        <w:t xml:space="preserve">employer. </w:t>
      </w:r>
      <w:r>
        <w:t>Speaking through Justice Thomas, t</w:t>
      </w:r>
      <w:r>
        <w:t>he Supreme Court explained th</w:t>
      </w:r>
      <w:r>
        <w:rPr>
          <w:rFonts w:cs="Palatino Linotype"/>
        </w:rPr>
        <w:t xml:space="preserve">at Title </w:t>
      </w:r>
      <w:r>
        <w:rPr>
          <w:rFonts w:cs="Palatino Linotype"/>
          <w:spacing w:val="-5"/>
        </w:rPr>
        <w:t xml:space="preserve">VII’s </w:t>
      </w:r>
      <w:r>
        <w:rPr>
          <w:rFonts w:cs="Palatino Linotype"/>
        </w:rPr>
        <w:t>definition of the term “employee” “lack[ed] any temporal qualifier and [wa</w:t>
      </w:r>
      <w:proofErr w:type="gramStart"/>
      <w:r>
        <w:rPr>
          <w:rFonts w:cs="Palatino Linotype"/>
        </w:rPr>
        <w:t>]s</w:t>
      </w:r>
      <w:proofErr w:type="gramEnd"/>
      <w:r>
        <w:rPr>
          <w:rFonts w:cs="Palatino Linotype"/>
        </w:rPr>
        <w:t xml:space="preserve"> consistent with either current or past employment.” </w:t>
      </w:r>
      <w:r>
        <w:rPr>
          <w:rFonts w:cs="Palatino Linotype"/>
          <w:i/>
        </w:rPr>
        <w:t>Robinson</w:t>
      </w:r>
      <w:r>
        <w:t xml:space="preserve">, 519 U.S. at 342. The Supreme Court observed that </w:t>
      </w:r>
      <w:r>
        <w:rPr>
          <w:rFonts w:cs="Palatino Linotype"/>
        </w:rPr>
        <w:t>the word “employees” fou</w:t>
      </w:r>
      <w:r>
        <w:rPr>
          <w:rFonts w:cs="Palatino Linotype"/>
        </w:rPr>
        <w:t xml:space="preserve">nd in the language defining the term “employment agency” was most naturally read to include “prospective employees.” </w:t>
      </w:r>
      <w:r>
        <w:rPr>
          <w:rFonts w:cs="Palatino Linotype"/>
          <w:i/>
        </w:rPr>
        <w:t xml:space="preserve">Id. </w:t>
      </w:r>
      <w:proofErr w:type="gramStart"/>
      <w:r>
        <w:t>at 343 n.3</w:t>
      </w:r>
      <w:proofErr w:type="gramEnd"/>
      <w:r>
        <w:t xml:space="preserve">. This observation has been relied on as a </w:t>
      </w:r>
      <w:r>
        <w:rPr>
          <w:rFonts w:cs="Palatino Linotype"/>
        </w:rPr>
        <w:t xml:space="preserve">basis for broadening the category of “employment agencies” falling within </w:t>
      </w:r>
      <w:r>
        <w:t>the cove</w:t>
      </w:r>
      <w:r>
        <w:t xml:space="preserve">rage of Title VII. </w:t>
      </w:r>
      <w:r>
        <w:rPr>
          <w:rFonts w:cs="Palatino Linotype"/>
          <w:i/>
          <w:spacing w:val="-5"/>
        </w:rPr>
        <w:t xml:space="preserve">Veasy </w:t>
      </w:r>
      <w:r>
        <w:rPr>
          <w:rFonts w:cs="Palatino Linotype"/>
          <w:i/>
          <w:spacing w:val="-6"/>
        </w:rPr>
        <w:t xml:space="preserve">v. Teach </w:t>
      </w:r>
      <w:r>
        <w:rPr>
          <w:rFonts w:cs="Palatino Linotype"/>
          <w:i/>
        </w:rPr>
        <w:t>for Am., Inc.</w:t>
      </w:r>
      <w:r>
        <w:t xml:space="preserve">, 868 </w:t>
      </w:r>
      <w:r>
        <w:rPr>
          <w:spacing w:val="-8"/>
        </w:rPr>
        <w:t xml:space="preserve">F. </w:t>
      </w:r>
      <w:r>
        <w:t xml:space="preserve">Supp. 2d 688, 695-96 (M.D. </w:t>
      </w:r>
      <w:r>
        <w:rPr>
          <w:spacing w:val="-4"/>
        </w:rPr>
        <w:t xml:space="preserve">Tenn. </w:t>
      </w:r>
      <w:r>
        <w:t xml:space="preserve">2012); </w:t>
      </w:r>
      <w:r>
        <w:rPr>
          <w:rFonts w:cs="Palatino Linotype"/>
          <w:i/>
        </w:rPr>
        <w:t xml:space="preserve">Scaglione </w:t>
      </w:r>
      <w:r>
        <w:rPr>
          <w:rFonts w:cs="Palatino Linotype"/>
          <w:i/>
          <w:spacing w:val="-6"/>
        </w:rPr>
        <w:t xml:space="preserve">v. </w:t>
      </w:r>
      <w:r>
        <w:rPr>
          <w:rFonts w:cs="Palatino Linotype"/>
          <w:i/>
        </w:rPr>
        <w:t xml:space="preserve">Chappaqua Cent. </w:t>
      </w:r>
      <w:proofErr w:type="gramStart"/>
      <w:r>
        <w:rPr>
          <w:rFonts w:cs="Palatino Linotype"/>
          <w:i/>
        </w:rPr>
        <w:t>Sch. Dist.</w:t>
      </w:r>
      <w:r>
        <w:t xml:space="preserve">, 209 </w:t>
      </w:r>
      <w:r>
        <w:rPr>
          <w:spacing w:val="-8"/>
        </w:rPr>
        <w:t xml:space="preserve">F. </w:t>
      </w:r>
      <w:r>
        <w:t xml:space="preserve">Supp. 2d 311, 315-16 </w:t>
      </w:r>
      <w:r>
        <w:rPr>
          <w:spacing w:val="-3"/>
        </w:rPr>
        <w:t>(S.D.N.Y.</w:t>
      </w:r>
      <w:r>
        <w:rPr>
          <w:spacing w:val="-2"/>
        </w:rPr>
        <w:t xml:space="preserve"> </w:t>
      </w:r>
      <w:r>
        <w:t>2002).</w:t>
      </w:r>
      <w:proofErr w:type="gramEnd"/>
    </w:p>
    <w:p w:rsidR="002A1594" w:rsidRDefault="002A1594">
      <w:pPr>
        <w:rPr>
          <w:rFonts w:ascii="Palatino Linotype" w:eastAsia="Palatino Linotype" w:hAnsi="Palatino Linotype" w:cs="Palatino Linotype"/>
          <w:sz w:val="20"/>
          <w:szCs w:val="20"/>
        </w:rPr>
      </w:pPr>
    </w:p>
    <w:p w:rsidR="002A1594" w:rsidRDefault="002A1594">
      <w:pPr>
        <w:spacing w:before="12"/>
        <w:rPr>
          <w:rFonts w:ascii="Palatino Linotype" w:eastAsia="Palatino Linotype" w:hAnsi="Palatino Linotype" w:cs="Palatino Linotype"/>
          <w:sz w:val="23"/>
          <w:szCs w:val="23"/>
        </w:rPr>
      </w:pPr>
    </w:p>
    <w:p w:rsidR="002A1594" w:rsidRDefault="00073D1D">
      <w:pPr>
        <w:pStyle w:val="BodyText"/>
        <w:ind w:left="4371" w:right="4369"/>
        <w:jc w:val="center"/>
      </w:pPr>
      <w:r>
        <w:t>21</w:t>
      </w:r>
    </w:p>
    <w:p w:rsidR="002A1594" w:rsidRDefault="002A1594">
      <w:pPr>
        <w:jc w:val="center"/>
        <w:sectPr w:rsidR="002A1594">
          <w:headerReference w:type="default" r:id="rId12"/>
          <w:pgSz w:w="12240" w:h="15840"/>
          <w:pgMar w:top="540" w:right="1620" w:bottom="280" w:left="1620" w:header="306" w:footer="0" w:gutter="0"/>
          <w:pgNumType w:start="21"/>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101" w:firstLine="719"/>
        <w:jc w:val="both"/>
      </w:pPr>
      <w:r>
        <w:pict>
          <v:group id="_x0000_s1059" style="position:absolute;left:0;text-align:left;margin-left:86.4pt;margin-top:621pt;width:144.05pt;height:.1pt;z-index:-24520;mso-position-horizontal-relative:page" coordorigin="1728,12420" coordsize="2881,2">
            <v:shape id="_x0000_s1060" style="position:absolute;left:1728;top:12420;width:2881;height:2" coordorigin="1728,12420" coordsize="2881,0" path="m1728,12420r2881,e" filled="f" strokeweight=".6pt">
              <v:path arrowok="t"/>
            </v:shape>
            <w10:wrap anchorx="page"/>
          </v:group>
        </w:pict>
      </w:r>
      <w:r>
        <w:t xml:space="preserve">The statutory definition presently at issue imposes a </w:t>
      </w:r>
      <w:r>
        <w:rPr>
          <w:rFonts w:cs="Palatino Linotype"/>
        </w:rPr>
        <w:t>“</w:t>
      </w:r>
      <w:r>
        <w:t>temporal qualifier</w:t>
      </w:r>
      <w:r>
        <w:rPr>
          <w:rFonts w:cs="Palatino Linotype"/>
        </w:rPr>
        <w:t xml:space="preserve">” </w:t>
      </w:r>
      <w:r>
        <w:t xml:space="preserve">on an </w:t>
      </w:r>
      <w:r>
        <w:rPr>
          <w:rFonts w:cs="Palatino Linotype"/>
          <w:spacing w:val="-4"/>
        </w:rPr>
        <w:t xml:space="preserve">entity’s </w:t>
      </w:r>
      <w:r>
        <w:rPr>
          <w:rFonts w:cs="Palatino Linotype"/>
        </w:rPr>
        <w:t xml:space="preserve">status as an “employer.” </w:t>
      </w:r>
      <w:r>
        <w:rPr>
          <w:rFonts w:cs="Palatino Linotype"/>
          <w:i/>
        </w:rPr>
        <w:t>Robinson</w:t>
      </w:r>
      <w:r>
        <w:t xml:space="preserve">, 519 U.S. at 342. An entity is covered only if it </w:t>
      </w:r>
      <w:r>
        <w:rPr>
          <w:rFonts w:cs="Palatino Linotype"/>
        </w:rPr>
        <w:t>“has 15 or more employees for each wo</w:t>
      </w:r>
      <w:r>
        <w:rPr>
          <w:rFonts w:cs="Palatino Linotype"/>
        </w:rPr>
        <w:t xml:space="preserve">rking day in each of 20 or more calendar weeks in </w:t>
      </w:r>
      <w:r>
        <w:t xml:space="preserve">the current or preceding calendar </w:t>
      </w:r>
      <w:r>
        <w:rPr>
          <w:spacing w:val="-3"/>
        </w:rPr>
        <w:t>yea</w:t>
      </w:r>
      <w:r>
        <w:rPr>
          <w:rFonts w:cs="Palatino Linotype"/>
          <w:spacing w:val="-3"/>
        </w:rPr>
        <w:t xml:space="preserve">r.” </w:t>
      </w:r>
      <w:r>
        <w:rPr>
          <w:rFonts w:cs="Palatino Linotype"/>
        </w:rPr>
        <w:t>42 U.S.C. § 12111(5</w:t>
      </w:r>
      <w:proofErr w:type="gramStart"/>
      <w:r>
        <w:rPr>
          <w:rFonts w:cs="Palatino Linotype"/>
        </w:rPr>
        <w:t>)(</w:t>
      </w:r>
      <w:proofErr w:type="gramEnd"/>
      <w:r>
        <w:rPr>
          <w:rFonts w:cs="Palatino Linotype"/>
        </w:rPr>
        <w:t xml:space="preserve">A). </w:t>
      </w:r>
      <w:r>
        <w:rPr>
          <w:spacing w:val="-2"/>
        </w:rPr>
        <w:t xml:space="preserve">The </w:t>
      </w:r>
      <w:r>
        <w:t xml:space="preserve">statutory language, </w:t>
      </w:r>
      <w:r>
        <w:rPr>
          <w:spacing w:val="-3"/>
        </w:rPr>
        <w:t xml:space="preserve">however, </w:t>
      </w:r>
      <w:r>
        <w:t xml:space="preserve">does not clearly </w:t>
      </w:r>
      <w:r>
        <w:rPr>
          <w:rFonts w:cs="Palatino Linotype"/>
        </w:rPr>
        <w:t xml:space="preserve">establish a corresponding “temporal qualifier” on the agency </w:t>
      </w:r>
      <w:r>
        <w:t xml:space="preserve">relationship. </w:t>
      </w:r>
      <w:r>
        <w:rPr>
          <w:rFonts w:cs="Palatino Linotype"/>
          <w:i/>
        </w:rPr>
        <w:t>Robinson</w:t>
      </w:r>
      <w:r>
        <w:rPr>
          <w:rFonts w:cs="Palatino Linotype"/>
        </w:rPr>
        <w:t>, 519 U</w:t>
      </w:r>
      <w:r>
        <w:rPr>
          <w:rFonts w:cs="Palatino Linotype"/>
        </w:rPr>
        <w:t xml:space="preserve">.S. at 342. </w:t>
      </w:r>
      <w:r>
        <w:rPr>
          <w:rFonts w:cs="Palatino Linotype"/>
          <w:spacing w:val="-2"/>
        </w:rPr>
        <w:t xml:space="preserve">The </w:t>
      </w:r>
      <w:r>
        <w:rPr>
          <w:rFonts w:cs="Palatino Linotype"/>
        </w:rPr>
        <w:t xml:space="preserve">decisions </w:t>
      </w:r>
      <w:proofErr w:type="gramStart"/>
      <w:r>
        <w:rPr>
          <w:rFonts w:cs="Palatino Linotype"/>
        </w:rPr>
        <w:t>extending  liability</w:t>
      </w:r>
      <w:proofErr w:type="gramEnd"/>
      <w:r>
        <w:rPr>
          <w:rFonts w:cs="Palatino Linotype"/>
        </w:rPr>
        <w:t xml:space="preserve">  to  “agents” </w:t>
      </w:r>
      <w:r>
        <w:t xml:space="preserve">under the theory advanced </w:t>
      </w:r>
      <w:r>
        <w:rPr>
          <w:rFonts w:cs="Palatino Linotype"/>
        </w:rPr>
        <w:t xml:space="preserve">by the EEOC suggest that an </w:t>
      </w:r>
      <w:r>
        <w:rPr>
          <w:rFonts w:cs="Palatino Linotype"/>
          <w:spacing w:val="-4"/>
        </w:rPr>
        <w:t xml:space="preserve">agent’s </w:t>
      </w:r>
      <w:r>
        <w:rPr>
          <w:rFonts w:cs="Palatino Linotype"/>
        </w:rPr>
        <w:t xml:space="preserve">coverage </w:t>
      </w:r>
      <w:r>
        <w:t xml:space="preserve">under the relevant statutory provisions turns on its </w:t>
      </w:r>
      <w:r>
        <w:rPr>
          <w:rFonts w:cs="Palatino Linotype"/>
          <w:i/>
        </w:rPr>
        <w:t xml:space="preserve">own </w:t>
      </w:r>
      <w:r>
        <w:t xml:space="preserve">satisfaction of the employee-numerosity requirement. </w:t>
      </w:r>
      <w:r>
        <w:rPr>
          <w:rFonts w:cs="Palatino Linotype"/>
          <w:i/>
          <w:spacing w:val="-4"/>
        </w:rPr>
        <w:t>DeVito</w:t>
      </w:r>
      <w:r>
        <w:rPr>
          <w:spacing w:val="-4"/>
        </w:rPr>
        <w:t xml:space="preserve">, </w:t>
      </w:r>
      <w:r>
        <w:t xml:space="preserve">83 </w:t>
      </w:r>
      <w:r>
        <w:rPr>
          <w:spacing w:val="-4"/>
        </w:rPr>
        <w:t xml:space="preserve">F.3d </w:t>
      </w:r>
      <w:r>
        <w:t xml:space="preserve">at 882; </w:t>
      </w:r>
      <w:r>
        <w:rPr>
          <w:rFonts w:cs="Palatino Linotype"/>
          <w:i/>
        </w:rPr>
        <w:t>Nealey</w:t>
      </w:r>
      <w:r>
        <w:t xml:space="preserve">, 114 </w:t>
      </w:r>
      <w:r>
        <w:rPr>
          <w:spacing w:val="-9"/>
        </w:rPr>
        <w:t xml:space="preserve">F. </w:t>
      </w:r>
      <w:r>
        <w:t xml:space="preserve">Supp. 2d at 1368-69. The parties agree that Grane was independently covered under Title I in 2009, and that its agency relationship with the CCC predated January 1, 2010. </w:t>
      </w:r>
      <w:proofErr w:type="gramStart"/>
      <w:r>
        <w:t>(ECF No. 131 ¶¶ 4, 6).</w:t>
      </w:r>
      <w:proofErr w:type="gramEnd"/>
      <w:r>
        <w:t xml:space="preserve"> </w:t>
      </w:r>
      <w:r>
        <w:rPr>
          <w:spacing w:val="-2"/>
        </w:rPr>
        <w:t xml:space="preserve">The </w:t>
      </w:r>
      <w:r>
        <w:rPr>
          <w:rFonts w:cs="Palatino Linotype"/>
        </w:rPr>
        <w:t>Defendants concede that the CC</w:t>
      </w:r>
      <w:r>
        <w:rPr>
          <w:rFonts w:cs="Palatino Linotype"/>
        </w:rPr>
        <w:t xml:space="preserve">C became an “employer” on that date. </w:t>
      </w:r>
      <w:r>
        <w:t>(ECF No. 111 at 5). Since the statutory langua</w:t>
      </w:r>
      <w:r>
        <w:rPr>
          <w:rFonts w:cs="Palatino Linotype"/>
        </w:rPr>
        <w:t xml:space="preserve">ge does not state that an entity must be an “agent” of a </w:t>
      </w:r>
      <w:r>
        <w:rPr>
          <w:rFonts w:cs="Palatino Linotype"/>
          <w:i/>
        </w:rPr>
        <w:t xml:space="preserve">current </w:t>
      </w:r>
      <w:r>
        <w:rPr>
          <w:rFonts w:cs="Palatino Linotype"/>
        </w:rPr>
        <w:t xml:space="preserve">“employer” in order to be a “covered </w:t>
      </w:r>
      <w:r>
        <w:rPr>
          <w:rFonts w:cs="Palatino Linotype"/>
          <w:spacing w:val="-4"/>
        </w:rPr>
        <w:t xml:space="preserve">entity,” </w:t>
      </w:r>
      <w:r>
        <w:rPr>
          <w:rFonts w:cs="Palatino Linotype"/>
        </w:rPr>
        <w:t xml:space="preserve">Grane can be held liable for the </w:t>
      </w:r>
      <w:r>
        <w:t>discriminatory acts allegedly</w:t>
      </w:r>
      <w:r>
        <w:t xml:space="preserve"> committed in its cap</w:t>
      </w:r>
      <w:r>
        <w:rPr>
          <w:rFonts w:cs="Palatino Linotype"/>
        </w:rPr>
        <w:t xml:space="preserve">acity as an existing “agent” of </w:t>
      </w:r>
      <w:r>
        <w:t xml:space="preserve">a </w:t>
      </w:r>
      <w:r>
        <w:rPr>
          <w:rFonts w:cs="Palatino Linotype"/>
          <w:i/>
        </w:rPr>
        <w:t xml:space="preserve">future </w:t>
      </w:r>
      <w:r>
        <w:rPr>
          <w:rFonts w:cs="Palatino Linotype"/>
        </w:rPr>
        <w:t>“employer.” 42 U.S.C</w:t>
      </w:r>
      <w:r>
        <w:t>. § 12111(5</w:t>
      </w:r>
      <w:proofErr w:type="gramStart"/>
      <w:r>
        <w:t>)(</w:t>
      </w:r>
      <w:proofErr w:type="gramEnd"/>
      <w:r>
        <w:t xml:space="preserve">A). The alternative reading of the statute would create a gap in coverage not intended by Congress. </w:t>
      </w:r>
      <w:proofErr w:type="gramStart"/>
      <w:r>
        <w:rPr>
          <w:rFonts w:cs="Palatino Linotype"/>
          <w:i/>
        </w:rPr>
        <w:t xml:space="preserve">EEOC </w:t>
      </w:r>
      <w:r>
        <w:rPr>
          <w:rFonts w:cs="Palatino Linotype"/>
          <w:i/>
          <w:spacing w:val="-6"/>
        </w:rPr>
        <w:t xml:space="preserve">v. </w:t>
      </w:r>
      <w:r>
        <w:rPr>
          <w:rFonts w:cs="Palatino Linotype"/>
          <w:i/>
        </w:rPr>
        <w:t>Wyoming</w:t>
      </w:r>
      <w:r>
        <w:t>, 460 U.S. 226, 233 (1983).</w:t>
      </w:r>
      <w:proofErr w:type="gramEnd"/>
      <w:r>
        <w:t xml:space="preserve"> Given that </w:t>
      </w:r>
      <w:r>
        <w:rPr>
          <w:rFonts w:cs="Palatino Linotype"/>
        </w:rPr>
        <w:t xml:space="preserve">Grane, </w:t>
      </w:r>
      <w:r>
        <w:rPr>
          <w:rFonts w:cs="Palatino Linotype"/>
        </w:rPr>
        <w:t xml:space="preserve">a covered “employer” itself, was knowingly hiring employees for </w:t>
      </w:r>
      <w:r>
        <w:t xml:space="preserve">a distinct entity that </w:t>
      </w:r>
      <w:r>
        <w:rPr>
          <w:spacing w:val="-3"/>
        </w:rPr>
        <w:t xml:space="preserve">was </w:t>
      </w:r>
      <w:r>
        <w:t xml:space="preserve">likewise destined to </w:t>
      </w:r>
      <w:r>
        <w:rPr>
          <w:rFonts w:cs="Palatino Linotype"/>
        </w:rPr>
        <w:t xml:space="preserve">fall within Title </w:t>
      </w:r>
      <w:r>
        <w:rPr>
          <w:rFonts w:cs="Palatino Linotype"/>
          <w:spacing w:val="-8"/>
        </w:rPr>
        <w:t xml:space="preserve">I’s </w:t>
      </w:r>
      <w:r>
        <w:rPr>
          <w:rFonts w:cs="Palatino Linotype"/>
        </w:rPr>
        <w:t xml:space="preserve">coverage, “the broader context of the statute as a whole” suggests that the </w:t>
      </w:r>
      <w:r>
        <w:rPr>
          <w:rFonts w:cs="Palatino Linotype"/>
          <w:spacing w:val="-5"/>
        </w:rPr>
        <w:t xml:space="preserve">EEOC’s </w:t>
      </w:r>
      <w:r>
        <w:rPr>
          <w:rFonts w:cs="Palatino Linotype"/>
        </w:rPr>
        <w:t xml:space="preserve">theory of agency liability </w:t>
      </w:r>
      <w:r>
        <w:t>should carry</w:t>
      </w:r>
      <w:r>
        <w:t xml:space="preserve"> the day in this case.</w:t>
      </w:r>
      <w:r>
        <w:rPr>
          <w:position w:val="6"/>
          <w:sz w:val="13"/>
          <w:szCs w:val="13"/>
        </w:rPr>
        <w:t xml:space="preserve">7   </w:t>
      </w:r>
      <w:r>
        <w:rPr>
          <w:rFonts w:cs="Palatino Linotype"/>
          <w:i/>
        </w:rPr>
        <w:t>Robinson</w:t>
      </w:r>
      <w:r>
        <w:t>, 519 U.S. at</w:t>
      </w:r>
      <w:r>
        <w:rPr>
          <w:spacing w:val="4"/>
        </w:rPr>
        <w:t xml:space="preserve"> </w:t>
      </w:r>
      <w:r>
        <w:t>341.</w:t>
      </w:r>
    </w:p>
    <w:p w:rsidR="002A1594" w:rsidRDefault="00073D1D">
      <w:pPr>
        <w:spacing w:before="41"/>
        <w:ind w:left="108" w:right="64"/>
        <w:rPr>
          <w:rFonts w:ascii="Palatino Linotype" w:eastAsia="Palatino Linotype" w:hAnsi="Palatino Linotype" w:cs="Palatino Linotype"/>
          <w:sz w:val="21"/>
          <w:szCs w:val="21"/>
        </w:rPr>
      </w:pPr>
      <w:r>
        <w:rPr>
          <w:rFonts w:ascii="Palatino Linotype"/>
          <w:position w:val="6"/>
          <w:sz w:val="13"/>
        </w:rPr>
        <w:t xml:space="preserve">7   </w:t>
      </w:r>
      <w:r>
        <w:rPr>
          <w:rFonts w:ascii="Palatino Linotype"/>
          <w:sz w:val="21"/>
        </w:rPr>
        <w:t>Given  its  control  over  the  staffing  process,  which  involved  the hiring  of  more  than</w:t>
      </w:r>
      <w:r>
        <w:rPr>
          <w:rFonts w:ascii="Palatino Linotype"/>
          <w:spacing w:val="-20"/>
          <w:sz w:val="21"/>
        </w:rPr>
        <w:t xml:space="preserve"> </w:t>
      </w:r>
      <w:r>
        <w:rPr>
          <w:rFonts w:ascii="Palatino Linotype"/>
          <w:sz w:val="21"/>
        </w:rPr>
        <w:t>300</w:t>
      </w:r>
    </w:p>
    <w:p w:rsidR="002A1594" w:rsidRDefault="002A1594">
      <w:pPr>
        <w:spacing w:before="12"/>
        <w:rPr>
          <w:rFonts w:ascii="Palatino Linotype" w:eastAsia="Palatino Linotype" w:hAnsi="Palatino Linotype" w:cs="Palatino Linotype"/>
          <w:sz w:val="19"/>
          <w:szCs w:val="19"/>
        </w:rPr>
      </w:pPr>
    </w:p>
    <w:p w:rsidR="002A1594" w:rsidRDefault="00073D1D">
      <w:pPr>
        <w:pStyle w:val="BodyText"/>
        <w:ind w:left="4371" w:right="4369"/>
        <w:jc w:val="center"/>
      </w:pPr>
      <w:r>
        <w:t>22</w:t>
      </w:r>
    </w:p>
    <w:p w:rsidR="002A1594" w:rsidRDefault="002A1594">
      <w:pPr>
        <w:jc w:val="center"/>
        <w:sectPr w:rsidR="002A1594">
          <w:pgSz w:w="12240" w:h="15840"/>
          <w:pgMar w:top="540" w:right="162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101" w:firstLine="719"/>
        <w:jc w:val="both"/>
      </w:pPr>
      <w:r>
        <w:t xml:space="preserve">The documentary record suggests that the asset purchase agreement transferring </w:t>
      </w:r>
      <w:r>
        <w:rPr>
          <w:rFonts w:cs="Palatino Linotype"/>
        </w:rPr>
        <w:t xml:space="preserve">the </w:t>
      </w:r>
      <w:r>
        <w:rPr>
          <w:rFonts w:cs="Palatino Linotype"/>
          <w:spacing w:val="-5"/>
        </w:rPr>
        <w:t xml:space="preserve">LCNRC’s </w:t>
      </w:r>
      <w:r>
        <w:rPr>
          <w:rFonts w:cs="Palatino Linotype"/>
        </w:rPr>
        <w:t xml:space="preserve">assets from Cambria County to Grane was executed on September 11, 2009. </w:t>
      </w:r>
      <w:r>
        <w:t>(ECF No. 133-7 at 2)</w:t>
      </w:r>
      <w:r>
        <w:rPr>
          <w:rFonts w:cs="Palatino Linotype"/>
        </w:rPr>
        <w:t>. Ebensburg Associates, LCC (“Ebensburg”</w:t>
      </w:r>
      <w:r>
        <w:t>), an affiliate of Grane, was des</w:t>
      </w:r>
      <w:r>
        <w:t xml:space="preserve">ignated to accept title to the real </w:t>
      </w:r>
      <w:r>
        <w:rPr>
          <w:spacing w:val="-4"/>
        </w:rPr>
        <w:t xml:space="preserve">property. </w:t>
      </w:r>
      <w:r>
        <w:t>(</w:t>
      </w:r>
      <w:r>
        <w:rPr>
          <w:rFonts w:cs="Palatino Linotype"/>
          <w:i/>
        </w:rPr>
        <w:t>Id.</w:t>
      </w:r>
      <w:r>
        <w:t>). The ECC, a separate Grane affiliate</w:t>
      </w:r>
      <w:proofErr w:type="gramStart"/>
      <w:r>
        <w:t>,  was</w:t>
      </w:r>
      <w:proofErr w:type="gramEnd"/>
      <w:r>
        <w:t xml:space="preserve"> designated to accept title to the remaining assets. (</w:t>
      </w:r>
      <w:r>
        <w:rPr>
          <w:rFonts w:cs="Palatino Linotype"/>
          <w:i/>
        </w:rPr>
        <w:t>Id.</w:t>
      </w:r>
      <w:r>
        <w:t xml:space="preserve">). This information </w:t>
      </w:r>
      <w:proofErr w:type="gramStart"/>
      <w:r>
        <w:rPr>
          <w:spacing w:val="-3"/>
        </w:rPr>
        <w:t xml:space="preserve">was  </w:t>
      </w:r>
      <w:r>
        <w:t>conveyed</w:t>
      </w:r>
      <w:proofErr w:type="gramEnd"/>
      <w:r>
        <w:t xml:space="preserve"> in an email authored by </w:t>
      </w:r>
      <w:r>
        <w:rPr>
          <w:rFonts w:cs="Palatino Linotype"/>
        </w:rPr>
        <w:t xml:space="preserve">Theresa Creagh (“Creagh”), </w:t>
      </w:r>
      <w:r>
        <w:rPr>
          <w:rFonts w:cs="Palatino Linotype"/>
          <w:spacing w:val="-4"/>
        </w:rPr>
        <w:t xml:space="preserve">Grane’s </w:t>
      </w:r>
      <w:r>
        <w:rPr>
          <w:rFonts w:cs="Palatino Linotype"/>
        </w:rPr>
        <w:t>General Coun</w:t>
      </w:r>
      <w:r>
        <w:rPr>
          <w:rFonts w:cs="Palatino Linotype"/>
        </w:rPr>
        <w:t xml:space="preserve">sel </w:t>
      </w:r>
      <w:r>
        <w:t xml:space="preserve">and </w:t>
      </w:r>
      <w:r>
        <w:rPr>
          <w:spacing w:val="-4"/>
        </w:rPr>
        <w:t xml:space="preserve">Secretary. </w:t>
      </w:r>
      <w:r>
        <w:t>(</w:t>
      </w:r>
      <w:r>
        <w:rPr>
          <w:rFonts w:cs="Palatino Linotype"/>
          <w:i/>
        </w:rPr>
        <w:t>Id.</w:t>
      </w:r>
      <w:r>
        <w:t xml:space="preserve">). On October 2, 2009, the ECC was organized as a limited liability company in accordance with 15 </w:t>
      </w:r>
      <w:r>
        <w:rPr>
          <w:spacing w:val="-5"/>
        </w:rPr>
        <w:t>P</w:t>
      </w:r>
      <w:r>
        <w:rPr>
          <w:spacing w:val="-5"/>
          <w:sz w:val="18"/>
          <w:szCs w:val="18"/>
        </w:rPr>
        <w:t>A</w:t>
      </w:r>
      <w:r>
        <w:rPr>
          <w:spacing w:val="-5"/>
        </w:rPr>
        <w:t xml:space="preserve">. </w:t>
      </w:r>
      <w:proofErr w:type="gramStart"/>
      <w:r>
        <w:t>C</w:t>
      </w:r>
      <w:r>
        <w:rPr>
          <w:sz w:val="18"/>
          <w:szCs w:val="18"/>
        </w:rPr>
        <w:t>ONS</w:t>
      </w:r>
      <w:r>
        <w:t xml:space="preserve">. </w:t>
      </w:r>
      <w:r>
        <w:rPr>
          <w:spacing w:val="-9"/>
        </w:rPr>
        <w:t>S</w:t>
      </w:r>
      <w:r>
        <w:rPr>
          <w:spacing w:val="-9"/>
          <w:sz w:val="18"/>
          <w:szCs w:val="18"/>
        </w:rPr>
        <w:t>TAT</w:t>
      </w:r>
      <w:r>
        <w:rPr>
          <w:spacing w:val="-9"/>
        </w:rPr>
        <w:t xml:space="preserve">. </w:t>
      </w:r>
      <w:r>
        <w:t>§ 8913.</w:t>
      </w:r>
      <w:proofErr w:type="gramEnd"/>
      <w:r>
        <w:t xml:space="preserve"> (ECF No. 133-4 at 2-3). Pennsylvania law provides for the registration of fictitious business names. </w:t>
      </w:r>
      <w:proofErr w:type="gramStart"/>
      <w:r>
        <w:t xml:space="preserve">54 </w:t>
      </w:r>
      <w:r>
        <w:rPr>
          <w:spacing w:val="-5"/>
        </w:rPr>
        <w:t>P</w:t>
      </w:r>
      <w:r>
        <w:rPr>
          <w:spacing w:val="-5"/>
          <w:sz w:val="18"/>
          <w:szCs w:val="18"/>
        </w:rPr>
        <w:t>A</w:t>
      </w:r>
      <w:r>
        <w:rPr>
          <w:spacing w:val="-5"/>
        </w:rPr>
        <w:t>.</w:t>
      </w:r>
      <w:proofErr w:type="gramEnd"/>
      <w:r>
        <w:rPr>
          <w:spacing w:val="-5"/>
        </w:rPr>
        <w:t xml:space="preserve"> </w:t>
      </w:r>
      <w:proofErr w:type="gramStart"/>
      <w:r>
        <w:t>C</w:t>
      </w:r>
      <w:r>
        <w:rPr>
          <w:sz w:val="18"/>
          <w:szCs w:val="18"/>
        </w:rPr>
        <w:t>ONS</w:t>
      </w:r>
      <w:r>
        <w:t xml:space="preserve">. </w:t>
      </w:r>
      <w:r>
        <w:rPr>
          <w:spacing w:val="-9"/>
        </w:rPr>
        <w:t>S</w:t>
      </w:r>
      <w:r>
        <w:rPr>
          <w:spacing w:val="-9"/>
          <w:sz w:val="18"/>
          <w:szCs w:val="18"/>
        </w:rPr>
        <w:t>TAT</w:t>
      </w:r>
      <w:r>
        <w:rPr>
          <w:spacing w:val="-9"/>
        </w:rPr>
        <w:t xml:space="preserve">. </w:t>
      </w:r>
      <w:r>
        <w:t>§ 311.</w:t>
      </w:r>
      <w:proofErr w:type="gramEnd"/>
      <w:r>
        <w:t xml:space="preserve"> </w:t>
      </w:r>
      <w:r>
        <w:rPr>
          <w:rFonts w:cs="Palatino Linotype"/>
        </w:rPr>
        <w:t xml:space="preserve">The name “Cambria Care Center” </w:t>
      </w:r>
      <w:r>
        <w:rPr>
          <w:rFonts w:cs="Palatino Linotype"/>
          <w:spacing w:val="-3"/>
        </w:rPr>
        <w:t xml:space="preserve">was </w:t>
      </w:r>
      <w:r>
        <w:rPr>
          <w:rFonts w:cs="Palatino Linotype"/>
        </w:rPr>
        <w:t xml:space="preserve">registered as the </w:t>
      </w:r>
      <w:r>
        <w:rPr>
          <w:rFonts w:cs="Palatino Linotype"/>
          <w:spacing w:val="-7"/>
        </w:rPr>
        <w:t xml:space="preserve">ECC’s </w:t>
      </w:r>
      <w:r>
        <w:rPr>
          <w:rFonts w:cs="Palatino Linotype"/>
        </w:rPr>
        <w:t xml:space="preserve">fictitious name </w:t>
      </w:r>
      <w:r>
        <w:t xml:space="preserve">on November 5, 2009. (ECF No. 133-6 at 3-4). In an affidavit submitted to the National </w:t>
      </w:r>
      <w:r>
        <w:rPr>
          <w:rFonts w:cs="Palatino Linotype"/>
        </w:rPr>
        <w:t xml:space="preserve">Labor Relations Board (“NLRB”) on January 26, 2010, Oddo stated </w:t>
      </w:r>
      <w:r>
        <w:t>that Grane d</w:t>
      </w:r>
      <w:r>
        <w:t xml:space="preserve">id </w:t>
      </w:r>
      <w:proofErr w:type="gramStart"/>
      <w:r>
        <w:t>not  own</w:t>
      </w:r>
      <w:proofErr w:type="gramEnd"/>
      <w:r>
        <w:t xml:space="preserve"> the CCC. </w:t>
      </w:r>
      <w:proofErr w:type="gramStart"/>
      <w:r>
        <w:t>(ECF No. 98-2 ¶ 2).</w:t>
      </w:r>
      <w:proofErr w:type="gramEnd"/>
      <w:r>
        <w:t xml:space="preserve"> He further declared that Gran</w:t>
      </w:r>
      <w:r>
        <w:rPr>
          <w:rFonts w:cs="Palatino Linotype"/>
        </w:rPr>
        <w:t>e had a “cont</w:t>
      </w:r>
      <w:r>
        <w:t xml:space="preserve">ractual </w:t>
      </w:r>
      <w:r>
        <w:rPr>
          <w:rFonts w:cs="Palatino Linotype"/>
        </w:rPr>
        <w:t xml:space="preserve">relationship” with </w:t>
      </w:r>
      <w:r>
        <w:t xml:space="preserve">Ebensburg and the ECC to manage the CCC, and that the ECC was </w:t>
      </w:r>
      <w:r>
        <w:rPr>
          <w:rFonts w:cs="Palatino Linotype"/>
        </w:rPr>
        <w:t xml:space="preserve">responsible for the </w:t>
      </w:r>
      <w:r>
        <w:rPr>
          <w:rFonts w:cs="Palatino Linotype"/>
          <w:spacing w:val="-6"/>
        </w:rPr>
        <w:t xml:space="preserve">CCC’s </w:t>
      </w:r>
      <w:r>
        <w:rPr>
          <w:rFonts w:cs="Palatino Linotype"/>
        </w:rPr>
        <w:t xml:space="preserve">operations. </w:t>
      </w:r>
      <w:r>
        <w:rPr>
          <w:rFonts w:cs="Palatino Linotype"/>
          <w:spacing w:val="6"/>
        </w:rPr>
        <w:t xml:space="preserve"> </w:t>
      </w:r>
      <w:r>
        <w:t>(</w:t>
      </w:r>
      <w:r>
        <w:rPr>
          <w:rFonts w:cs="Palatino Linotype"/>
          <w:i/>
        </w:rPr>
        <w:t>Id.</w:t>
      </w:r>
      <w:r>
        <w:t>).</w:t>
      </w:r>
    </w:p>
    <w:p w:rsidR="002A1594" w:rsidRDefault="00073D1D">
      <w:pPr>
        <w:pStyle w:val="BodyText"/>
        <w:spacing w:before="0" w:line="480" w:lineRule="auto"/>
        <w:ind w:right="103" w:firstLine="719"/>
        <w:jc w:val="both"/>
        <w:rPr>
          <w:rFonts w:cs="Palatino Linotype"/>
        </w:rPr>
      </w:pPr>
      <w:r>
        <w:rPr>
          <w:rFonts w:cs="Palatino Linotype"/>
        </w:rPr>
        <w:t>The EEOC correctly points out that the</w:t>
      </w:r>
      <w:r>
        <w:rPr>
          <w:rFonts w:cs="Palatino Linotype"/>
        </w:rPr>
        <w:t xml:space="preserve"> CCC was “a </w:t>
      </w:r>
      <w:r>
        <w:t xml:space="preserve">legal entity as early as October </w:t>
      </w:r>
      <w:r>
        <w:rPr>
          <w:rFonts w:cs="Palatino Linotype"/>
        </w:rPr>
        <w:t xml:space="preserve">2009.” </w:t>
      </w:r>
      <w:r>
        <w:t xml:space="preserve">(ECF No. 129 at 5). </w:t>
      </w:r>
      <w:r>
        <w:rPr>
          <w:rFonts w:cs="Palatino Linotype"/>
        </w:rPr>
        <w:t xml:space="preserve">As an existing </w:t>
      </w:r>
      <w:r>
        <w:rPr>
          <w:rFonts w:cs="Palatino Linotype"/>
          <w:spacing w:val="-4"/>
        </w:rPr>
        <w:t xml:space="preserve">“entity,” </w:t>
      </w:r>
      <w:r>
        <w:rPr>
          <w:rFonts w:cs="Palatino Linotype"/>
        </w:rPr>
        <w:t xml:space="preserve">the CCC </w:t>
      </w:r>
      <w:r>
        <w:rPr>
          <w:rFonts w:cs="Palatino Linotype"/>
          <w:spacing w:val="-3"/>
        </w:rPr>
        <w:t xml:space="preserve">was </w:t>
      </w:r>
      <w:r>
        <w:rPr>
          <w:rFonts w:cs="Palatino Linotype"/>
        </w:rPr>
        <w:t xml:space="preserve">able to engage in an agency relationship with Grane, an independently “covered </w:t>
      </w:r>
      <w:r>
        <w:rPr>
          <w:rFonts w:cs="Palatino Linotype"/>
          <w:spacing w:val="-4"/>
        </w:rPr>
        <w:t xml:space="preserve">entity,” </w:t>
      </w:r>
      <w:r>
        <w:rPr>
          <w:rFonts w:cs="Palatino Linotype"/>
        </w:rPr>
        <w:t xml:space="preserve">to facilitate the </w:t>
      </w:r>
      <w:r>
        <w:t>recruitment and selection of employees. (</w:t>
      </w:r>
      <w:r>
        <w:t>ECF No. 131 ¶¶ 4-6)</w:t>
      </w:r>
      <w:r>
        <w:rPr>
          <w:rFonts w:cs="Palatino Linotype"/>
        </w:rPr>
        <w:t xml:space="preserve">. </w:t>
      </w:r>
      <w:r>
        <w:rPr>
          <w:rFonts w:cs="Palatino Linotype"/>
          <w:spacing w:val="-2"/>
        </w:rPr>
        <w:t xml:space="preserve">The </w:t>
      </w:r>
      <w:r>
        <w:rPr>
          <w:rFonts w:cs="Palatino Linotype"/>
          <w:spacing w:val="-6"/>
        </w:rPr>
        <w:t xml:space="preserve">CCC’s </w:t>
      </w:r>
      <w:r>
        <w:rPr>
          <w:rFonts w:cs="Palatino Linotype"/>
        </w:rPr>
        <w:t xml:space="preserve">status as </w:t>
      </w:r>
      <w:proofErr w:type="gramStart"/>
      <w:r>
        <w:rPr>
          <w:rFonts w:cs="Palatino Linotype"/>
        </w:rPr>
        <w:t>a  “</w:t>
      </w:r>
      <w:proofErr w:type="gramEnd"/>
      <w:r>
        <w:rPr>
          <w:rFonts w:cs="Palatino Linotype"/>
        </w:rPr>
        <w:t xml:space="preserve">legal </w:t>
      </w:r>
      <w:r>
        <w:rPr>
          <w:rFonts w:cs="Palatino Linotype"/>
          <w:spacing w:val="-4"/>
        </w:rPr>
        <w:t xml:space="preserve">entity,”  </w:t>
      </w:r>
      <w:r>
        <w:rPr>
          <w:rFonts w:cs="Palatino Linotype"/>
          <w:spacing w:val="-3"/>
        </w:rPr>
        <w:t xml:space="preserve">however,  </w:t>
      </w:r>
      <w:r>
        <w:rPr>
          <w:rFonts w:cs="Palatino Linotype"/>
        </w:rPr>
        <w:t xml:space="preserve">does not warrant  the  conclusion  that  it </w:t>
      </w:r>
      <w:r>
        <w:rPr>
          <w:rFonts w:cs="Palatino Linotype"/>
          <w:spacing w:val="-3"/>
        </w:rPr>
        <w:t xml:space="preserve">was  </w:t>
      </w:r>
      <w:r>
        <w:rPr>
          <w:rFonts w:cs="Palatino Linotype"/>
        </w:rPr>
        <w:t>a  “covered</w:t>
      </w:r>
      <w:r>
        <w:rPr>
          <w:rFonts w:cs="Palatino Linotype"/>
          <w:spacing w:val="5"/>
        </w:rPr>
        <w:t xml:space="preserve"> </w:t>
      </w:r>
      <w:r>
        <w:rPr>
          <w:rFonts w:cs="Palatino Linotype"/>
        </w:rPr>
        <w:t>entity”</w:t>
      </w:r>
    </w:p>
    <w:p w:rsidR="002A1594" w:rsidRDefault="002A1594">
      <w:pPr>
        <w:spacing w:before="1"/>
        <w:rPr>
          <w:rFonts w:ascii="Palatino Linotype" w:eastAsia="Palatino Linotype" w:hAnsi="Palatino Linotype" w:cs="Palatino Linotype"/>
          <w:sz w:val="17"/>
          <w:szCs w:val="17"/>
        </w:rPr>
      </w:pPr>
    </w:p>
    <w:p w:rsidR="002A1594" w:rsidRDefault="00073D1D">
      <w:pPr>
        <w:spacing w:line="20" w:lineRule="exact"/>
        <w:ind w:left="102"/>
        <w:rPr>
          <w:rFonts w:ascii="Palatino Linotype" w:eastAsia="Palatino Linotype" w:hAnsi="Palatino Linotype" w:cs="Palatino Linotype"/>
          <w:sz w:val="2"/>
          <w:szCs w:val="2"/>
        </w:rPr>
      </w:pPr>
      <w:r>
        <w:rPr>
          <w:rFonts w:ascii="Palatino Linotype" w:eastAsia="Palatino Linotype" w:hAnsi="Palatino Linotype" w:cs="Palatino Linotype"/>
          <w:sz w:val="2"/>
          <w:szCs w:val="2"/>
        </w:rPr>
      </w:r>
      <w:r>
        <w:rPr>
          <w:rFonts w:ascii="Palatino Linotype" w:eastAsia="Palatino Linotype" w:hAnsi="Palatino Linotype" w:cs="Palatino Linotype"/>
          <w:sz w:val="2"/>
          <w:szCs w:val="2"/>
        </w:rPr>
        <w:pict>
          <v:group id="_x0000_s1056" style="width:439.9pt;height:.6pt;mso-position-horizontal-relative:char;mso-position-vertical-relative:line" coordsize="8798,12">
            <v:group id="_x0000_s1057" style="position:absolute;left:6;top:6;width:8786;height:2" coordorigin="6,6" coordsize="8786,2">
              <v:shape id="_x0000_s1058" style="position:absolute;left:6;top:6;width:8786;height:2" coordorigin="6,6" coordsize="8786,0" path="m6,6r8785,e" filled="f" strokeweight=".6pt">
                <v:path arrowok="t"/>
              </v:shape>
            </v:group>
            <w10:wrap type="none"/>
            <w10:anchorlock/>
          </v:group>
        </w:pict>
      </w:r>
    </w:p>
    <w:p w:rsidR="002A1594" w:rsidRDefault="002A1594">
      <w:pPr>
        <w:spacing w:before="4"/>
        <w:rPr>
          <w:rFonts w:ascii="Palatino Linotype" w:eastAsia="Palatino Linotype" w:hAnsi="Palatino Linotype" w:cs="Palatino Linotype"/>
          <w:sz w:val="5"/>
          <w:szCs w:val="5"/>
        </w:rPr>
      </w:pPr>
    </w:p>
    <w:p w:rsidR="002A1594" w:rsidRDefault="00073D1D">
      <w:pPr>
        <w:spacing w:before="31"/>
        <w:ind w:left="108" w:right="64"/>
        <w:rPr>
          <w:rFonts w:ascii="Palatino Linotype" w:eastAsia="Palatino Linotype" w:hAnsi="Palatino Linotype" w:cs="Palatino Linotype"/>
          <w:sz w:val="21"/>
          <w:szCs w:val="21"/>
        </w:rPr>
      </w:pPr>
      <w:proofErr w:type="gramStart"/>
      <w:r>
        <w:rPr>
          <w:rFonts w:ascii="Palatino Linotype" w:hAnsi="Palatino Linotype"/>
          <w:sz w:val="21"/>
        </w:rPr>
        <w:t>employees</w:t>
      </w:r>
      <w:proofErr w:type="gramEnd"/>
      <w:r>
        <w:rPr>
          <w:rFonts w:ascii="Palatino Linotype" w:hAnsi="Palatino Linotype"/>
          <w:sz w:val="21"/>
        </w:rPr>
        <w:t>, Grane was clearly on notice in 2010 that its existing agency relationship was with an entity that would be covered under Title I.  (ECF No. 115 ¶¶</w:t>
      </w:r>
      <w:r>
        <w:rPr>
          <w:rFonts w:ascii="Palatino Linotype" w:hAnsi="Palatino Linotype"/>
          <w:spacing w:val="-17"/>
          <w:sz w:val="21"/>
        </w:rPr>
        <w:t xml:space="preserve"> </w:t>
      </w:r>
      <w:r>
        <w:rPr>
          <w:rFonts w:ascii="Palatino Linotype" w:hAnsi="Palatino Linotype"/>
          <w:sz w:val="21"/>
        </w:rPr>
        <w:t>16-18).</w:t>
      </w:r>
    </w:p>
    <w:p w:rsidR="002A1594" w:rsidRDefault="002A1594">
      <w:pPr>
        <w:spacing w:before="12"/>
        <w:rPr>
          <w:rFonts w:ascii="Palatino Linotype" w:eastAsia="Palatino Linotype" w:hAnsi="Palatino Linotype" w:cs="Palatino Linotype"/>
          <w:sz w:val="19"/>
          <w:szCs w:val="19"/>
        </w:rPr>
      </w:pPr>
    </w:p>
    <w:p w:rsidR="002A1594" w:rsidRDefault="00073D1D">
      <w:pPr>
        <w:pStyle w:val="BodyText"/>
        <w:ind w:left="4371" w:right="4369"/>
        <w:jc w:val="center"/>
      </w:pPr>
      <w:r>
        <w:t>23</w:t>
      </w:r>
    </w:p>
    <w:p w:rsidR="002A1594" w:rsidRDefault="002A1594">
      <w:pPr>
        <w:jc w:val="center"/>
        <w:sectPr w:rsidR="002A1594">
          <w:pgSz w:w="12240" w:h="15840"/>
          <w:pgMar w:top="540" w:right="162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102"/>
        <w:jc w:val="both"/>
      </w:pPr>
      <w:proofErr w:type="gramStart"/>
      <w:r>
        <w:t>under</w:t>
      </w:r>
      <w:proofErr w:type="gramEnd"/>
      <w:r>
        <w:t xml:space="preserve"> Title I. 42 U.S.C. § </w:t>
      </w:r>
      <w:r>
        <w:rPr>
          <w:rFonts w:cs="Palatino Linotype"/>
        </w:rPr>
        <w:t xml:space="preserve">12111(2). An entity is subject to the </w:t>
      </w:r>
      <w:r>
        <w:rPr>
          <w:rFonts w:cs="Palatino Linotype"/>
          <w:spacing w:val="-9"/>
        </w:rPr>
        <w:t xml:space="preserve">ADA’s </w:t>
      </w:r>
      <w:r>
        <w:rPr>
          <w:rFonts w:cs="Palatino Linotype"/>
        </w:rPr>
        <w:t xml:space="preserve">provisions only if it “has </w:t>
      </w:r>
      <w:r>
        <w:t xml:space="preserve">15 or more employees for each working day in each of 20 or more calendar weeks </w:t>
      </w:r>
      <w:r>
        <w:rPr>
          <w:rFonts w:cs="Palatino Linotype"/>
          <w:i/>
        </w:rPr>
        <w:t>in the current or preceding calendar year</w:t>
      </w:r>
      <w:r>
        <w:rPr>
          <w:rFonts w:cs="Palatino Linotype"/>
        </w:rPr>
        <w:t xml:space="preserve">.” 42 U.S.C. § </w:t>
      </w:r>
      <w:r>
        <w:t>12111(5</w:t>
      </w:r>
      <w:proofErr w:type="gramStart"/>
      <w:r>
        <w:t>)(</w:t>
      </w:r>
      <w:proofErr w:type="gramEnd"/>
      <w:r>
        <w:t xml:space="preserve">A)(emphasis added). </w:t>
      </w:r>
      <w:r>
        <w:rPr>
          <w:rFonts w:cs="Palatino Linotype"/>
        </w:rPr>
        <w:t xml:space="preserve">“[A]n employer ‘has’ </w:t>
      </w:r>
      <w:r>
        <w:rPr>
          <w:rFonts w:cs="Palatino Linotype"/>
        </w:rPr>
        <w:t xml:space="preserve">an employee if [it] maintains an employment relationship with that individual.” </w:t>
      </w:r>
      <w:proofErr w:type="gramStart"/>
      <w:r>
        <w:rPr>
          <w:rFonts w:cs="Palatino Linotype"/>
          <w:i/>
        </w:rPr>
        <w:t xml:space="preserve">Walters </w:t>
      </w:r>
      <w:r>
        <w:rPr>
          <w:rFonts w:cs="Palatino Linotype"/>
          <w:i/>
          <w:spacing w:val="-6"/>
        </w:rPr>
        <w:t xml:space="preserve">v. </w:t>
      </w:r>
      <w:r>
        <w:rPr>
          <w:rFonts w:cs="Palatino Linotype"/>
          <w:i/>
        </w:rPr>
        <w:t>Metro.</w:t>
      </w:r>
      <w:proofErr w:type="gramEnd"/>
      <w:r>
        <w:rPr>
          <w:rFonts w:cs="Palatino Linotype"/>
          <w:i/>
        </w:rPr>
        <w:t xml:space="preserve"> </w:t>
      </w:r>
      <w:proofErr w:type="gramStart"/>
      <w:r>
        <w:rPr>
          <w:rFonts w:cs="Palatino Linotype"/>
          <w:i/>
        </w:rPr>
        <w:t>Educ. Enters., Inc.</w:t>
      </w:r>
      <w:r>
        <w:t>, 519 U.S. 202, 207 (1997).</w:t>
      </w:r>
      <w:proofErr w:type="gramEnd"/>
      <w:r>
        <w:t xml:space="preserve">  Since the </w:t>
      </w:r>
      <w:proofErr w:type="gramStart"/>
      <w:r>
        <w:t xml:space="preserve">CCC  </w:t>
      </w:r>
      <w:r>
        <w:rPr>
          <w:rFonts w:cs="Palatino Linotype"/>
          <w:i/>
        </w:rPr>
        <w:t>had</w:t>
      </w:r>
      <w:proofErr w:type="gramEnd"/>
      <w:r>
        <w:rPr>
          <w:rFonts w:cs="Palatino Linotype"/>
          <w:i/>
        </w:rPr>
        <w:t xml:space="preserve"> </w:t>
      </w:r>
      <w:r>
        <w:t>no employees until 2010, it did not fall within the statutory definition in 2009. It is not</w:t>
      </w:r>
      <w:r>
        <w:t xml:space="preserve"> entirely clear how the EEOC believes that the CCC independently qualified as an </w:t>
      </w:r>
      <w:r>
        <w:rPr>
          <w:rFonts w:cs="Palatino Linotype"/>
        </w:rPr>
        <w:t>“employer” during th</w:t>
      </w:r>
      <w:r>
        <w:t xml:space="preserve">e relevant period, aside from its relationship with Grane. </w:t>
      </w:r>
      <w:r>
        <w:rPr>
          <w:spacing w:val="-2"/>
        </w:rPr>
        <w:t xml:space="preserve">The </w:t>
      </w:r>
      <w:r>
        <w:rPr>
          <w:rFonts w:cs="Palatino Linotype"/>
        </w:rPr>
        <w:t xml:space="preserve">“temporal qualifier” enacted by Congress must be enforced.  </w:t>
      </w:r>
      <w:r>
        <w:rPr>
          <w:rFonts w:cs="Palatino Linotype"/>
          <w:i/>
        </w:rPr>
        <w:t>Robinson</w:t>
      </w:r>
      <w:r>
        <w:t>, 519 U.S. at</w:t>
      </w:r>
      <w:r>
        <w:rPr>
          <w:spacing w:val="-5"/>
        </w:rPr>
        <w:t xml:space="preserve"> </w:t>
      </w:r>
      <w:r>
        <w:t>342.</w:t>
      </w:r>
    </w:p>
    <w:p w:rsidR="002A1594" w:rsidRDefault="00073D1D">
      <w:pPr>
        <w:pStyle w:val="BodyText"/>
        <w:spacing w:before="0" w:line="480" w:lineRule="auto"/>
        <w:ind w:right="101" w:firstLine="719"/>
        <w:jc w:val="both"/>
        <w:rPr>
          <w:rFonts w:cs="Palatino Linotype"/>
        </w:rPr>
      </w:pPr>
      <w:r>
        <w:t>In an</w:t>
      </w:r>
      <w:r>
        <w:t xml:space="preserve"> attempt to link the Defendants together for liability purposes, the EEOC maintains that they act</w:t>
      </w:r>
      <w:r>
        <w:rPr>
          <w:rFonts w:cs="Palatino Linotype"/>
        </w:rPr>
        <w:t xml:space="preserve">ed as a “joint employer” in connection with the hiring process. </w:t>
      </w:r>
      <w:r>
        <w:t xml:space="preserve">(ECF No. 96 at 8-10). </w:t>
      </w:r>
      <w:r>
        <w:rPr>
          <w:rFonts w:cs="Palatino Linotype"/>
        </w:rPr>
        <w:t>The Defendants contend that the EEOC “cannot raise the joint employer the</w:t>
      </w:r>
      <w:r>
        <w:rPr>
          <w:rFonts w:cs="Palatino Linotype"/>
        </w:rPr>
        <w:t xml:space="preserve">ory for the first time at [this] stage.” </w:t>
      </w:r>
      <w:r>
        <w:t xml:space="preserve">(ECF No. 111 at 7). A plaintiff cannot assert an unpled claim in a brief supporting or opposing a motion for summary judgment. </w:t>
      </w:r>
      <w:proofErr w:type="gramStart"/>
      <w:r>
        <w:rPr>
          <w:rFonts w:cs="Palatino Linotype"/>
          <w:i/>
        </w:rPr>
        <w:t xml:space="preserve">Nykiel </w:t>
      </w:r>
      <w:r>
        <w:rPr>
          <w:rFonts w:cs="Palatino Linotype"/>
          <w:i/>
          <w:spacing w:val="-6"/>
        </w:rPr>
        <w:t xml:space="preserve">v. </w:t>
      </w:r>
      <w:r>
        <w:rPr>
          <w:rFonts w:cs="Palatino Linotype"/>
          <w:i/>
        </w:rPr>
        <w:t>Borough of Sharpsburg</w:t>
      </w:r>
      <w:r>
        <w:t xml:space="preserve">, 778 </w:t>
      </w:r>
      <w:r>
        <w:rPr>
          <w:spacing w:val="-8"/>
        </w:rPr>
        <w:t xml:space="preserve">F. </w:t>
      </w:r>
      <w:r>
        <w:t xml:space="preserve">Supp. 2d 573, 587 </w:t>
      </w:r>
      <w:r>
        <w:rPr>
          <w:spacing w:val="-4"/>
        </w:rPr>
        <w:t xml:space="preserve">(W.D. </w:t>
      </w:r>
      <w:r>
        <w:rPr>
          <w:spacing w:val="-3"/>
        </w:rPr>
        <w:t xml:space="preserve">Pa. </w:t>
      </w:r>
      <w:r>
        <w:t xml:space="preserve">2011); </w:t>
      </w:r>
      <w:r>
        <w:rPr>
          <w:rFonts w:cs="Palatino Linotype"/>
          <w:i/>
        </w:rPr>
        <w:t xml:space="preserve">Johnson </w:t>
      </w:r>
      <w:r>
        <w:rPr>
          <w:rFonts w:cs="Palatino Linotype"/>
          <w:i/>
          <w:spacing w:val="-6"/>
        </w:rPr>
        <w:t xml:space="preserve">v. </w:t>
      </w:r>
      <w:r>
        <w:rPr>
          <w:rFonts w:cs="Palatino Linotype"/>
          <w:i/>
          <w:spacing w:val="-3"/>
        </w:rPr>
        <w:t>Cm</w:t>
      </w:r>
      <w:r>
        <w:rPr>
          <w:rFonts w:cs="Palatino Linotype"/>
          <w:i/>
          <w:spacing w:val="-3"/>
        </w:rPr>
        <w:t>ty.</w:t>
      </w:r>
      <w:proofErr w:type="gramEnd"/>
      <w:r>
        <w:rPr>
          <w:rFonts w:cs="Palatino Linotype"/>
          <w:i/>
          <w:spacing w:val="-3"/>
        </w:rPr>
        <w:t xml:space="preserve"> </w:t>
      </w:r>
      <w:proofErr w:type="gramStart"/>
      <w:r>
        <w:rPr>
          <w:rFonts w:cs="Palatino Linotype"/>
          <w:i/>
        </w:rPr>
        <w:t xml:space="preserve">College of Allegheny </w:t>
      </w:r>
      <w:r>
        <w:rPr>
          <w:rFonts w:cs="Palatino Linotype"/>
          <w:i/>
          <w:spacing w:val="-3"/>
        </w:rPr>
        <w:t>Cnty.</w:t>
      </w:r>
      <w:r>
        <w:rPr>
          <w:spacing w:val="-3"/>
        </w:rPr>
        <w:t xml:space="preserve">, </w:t>
      </w:r>
      <w:r>
        <w:t xml:space="preserve">566 </w:t>
      </w:r>
      <w:r>
        <w:rPr>
          <w:spacing w:val="-8"/>
        </w:rPr>
        <w:t xml:space="preserve">F. </w:t>
      </w:r>
      <w:r>
        <w:t xml:space="preserve">Supp. 2d 405, 449 </w:t>
      </w:r>
      <w:r>
        <w:rPr>
          <w:spacing w:val="-4"/>
        </w:rPr>
        <w:t xml:space="preserve">(W.D. </w:t>
      </w:r>
      <w:r>
        <w:rPr>
          <w:rFonts w:cs="Palatino Linotype"/>
          <w:spacing w:val="-3"/>
        </w:rPr>
        <w:t xml:space="preserve">Pa. </w:t>
      </w:r>
      <w:r>
        <w:rPr>
          <w:rFonts w:cs="Palatino Linotype"/>
        </w:rPr>
        <w:t>2008).</w:t>
      </w:r>
      <w:proofErr w:type="gramEnd"/>
      <w:r>
        <w:rPr>
          <w:rFonts w:cs="Palatino Linotype"/>
        </w:rPr>
        <w:t xml:space="preserve"> The “joint employer” </w:t>
      </w:r>
      <w:r>
        <w:t xml:space="preserve">theory advocated by the EEOC, </w:t>
      </w:r>
      <w:r>
        <w:rPr>
          <w:spacing w:val="-3"/>
        </w:rPr>
        <w:t xml:space="preserve">however, </w:t>
      </w:r>
      <w:r>
        <w:t xml:space="preserve">does not constitute a new claim.  </w:t>
      </w:r>
      <w:proofErr w:type="gramStart"/>
      <w:r>
        <w:rPr>
          <w:rFonts w:cs="Palatino Linotype"/>
          <w:i/>
        </w:rPr>
        <w:t xml:space="preserve">Lebron </w:t>
      </w:r>
      <w:r>
        <w:rPr>
          <w:rFonts w:cs="Palatino Linotype"/>
          <w:i/>
          <w:spacing w:val="-6"/>
        </w:rPr>
        <w:t>v.</w:t>
      </w:r>
      <w:proofErr w:type="gramEnd"/>
      <w:r>
        <w:rPr>
          <w:rFonts w:cs="Palatino Linotype"/>
          <w:i/>
          <w:spacing w:val="-6"/>
        </w:rPr>
        <w:t xml:space="preserve">  </w:t>
      </w:r>
      <w:r>
        <w:rPr>
          <w:rFonts w:cs="Palatino Linotype"/>
          <w:i/>
          <w:spacing w:val="39"/>
        </w:rPr>
        <w:t xml:space="preserve"> </w:t>
      </w:r>
      <w:r>
        <w:rPr>
          <w:rFonts w:cs="Palatino Linotype"/>
          <w:i/>
        </w:rPr>
        <w:t>Nat’l</w:t>
      </w:r>
    </w:p>
    <w:p w:rsidR="002A1594" w:rsidRDefault="00073D1D">
      <w:pPr>
        <w:pStyle w:val="BodyText"/>
        <w:spacing w:before="1" w:line="480" w:lineRule="auto"/>
        <w:ind w:right="101"/>
        <w:jc w:val="both"/>
      </w:pPr>
      <w:proofErr w:type="gramStart"/>
      <w:r>
        <w:rPr>
          <w:rFonts w:cs="Palatino Linotype"/>
          <w:i/>
        </w:rPr>
        <w:t>R.R. Passenger Corp.</w:t>
      </w:r>
      <w:r>
        <w:t>, 513 U.S. 374, 379 (1995).</w:t>
      </w:r>
      <w:proofErr w:type="gramEnd"/>
      <w:r>
        <w:t xml:space="preserve"> </w:t>
      </w:r>
      <w:r>
        <w:rPr>
          <w:rFonts w:cs="Palatino Linotype"/>
          <w:spacing w:val="-2"/>
        </w:rPr>
        <w:t xml:space="preserve">The </w:t>
      </w:r>
      <w:r>
        <w:rPr>
          <w:rFonts w:cs="Palatino Linotype"/>
          <w:spacing w:val="-5"/>
        </w:rPr>
        <w:t xml:space="preserve">EEOC’s </w:t>
      </w:r>
      <w:r>
        <w:rPr>
          <w:rFonts w:cs="Palatino Linotype"/>
        </w:rPr>
        <w:t xml:space="preserve">claims </w:t>
      </w:r>
      <w:r>
        <w:t xml:space="preserve">against the Defendants, which arise under the ADA, are concededly before the Court. </w:t>
      </w:r>
      <w:r>
        <w:rPr>
          <w:rFonts w:cs="Palatino Linotype"/>
          <w:i/>
        </w:rPr>
        <w:t xml:space="preserve">Citizens United </w:t>
      </w:r>
      <w:r>
        <w:rPr>
          <w:rFonts w:cs="Palatino Linotype"/>
          <w:i/>
          <w:spacing w:val="-6"/>
        </w:rPr>
        <w:t xml:space="preserve">v. </w:t>
      </w:r>
      <w:r>
        <w:rPr>
          <w:rFonts w:cs="Palatino Linotype"/>
          <w:i/>
        </w:rPr>
        <w:t>Federal Election Comm’n</w:t>
      </w:r>
      <w:r>
        <w:t xml:space="preserve">, 558 U.S. 310, 330-31 </w:t>
      </w:r>
      <w:r>
        <w:rPr>
          <w:rFonts w:cs="Palatino Linotype"/>
        </w:rPr>
        <w:t xml:space="preserve">(2010). “Once a claim is properly presented, a party can make any argument in support of that claim.” </w:t>
      </w:r>
      <w:proofErr w:type="gramStart"/>
      <w:r>
        <w:rPr>
          <w:rFonts w:cs="Palatino Linotype"/>
          <w:i/>
          <w:spacing w:val="-9"/>
        </w:rPr>
        <w:t xml:space="preserve">Yee </w:t>
      </w:r>
      <w:r>
        <w:rPr>
          <w:rFonts w:cs="Palatino Linotype"/>
          <w:i/>
          <w:spacing w:val="-6"/>
        </w:rPr>
        <w:t>v</w:t>
      </w:r>
      <w:r>
        <w:rPr>
          <w:rFonts w:cs="Palatino Linotype"/>
          <w:i/>
          <w:spacing w:val="-6"/>
        </w:rPr>
        <w:t>.</w:t>
      </w:r>
      <w:proofErr w:type="gramEnd"/>
      <w:r>
        <w:rPr>
          <w:rFonts w:cs="Palatino Linotype"/>
          <w:i/>
          <w:spacing w:val="-6"/>
        </w:rPr>
        <w:t xml:space="preserve">  </w:t>
      </w:r>
      <w:r>
        <w:rPr>
          <w:rFonts w:cs="Palatino Linotype"/>
          <w:i/>
        </w:rPr>
        <w:t>City of Escondido</w:t>
      </w:r>
      <w:r>
        <w:t>, 503 U.S. 519</w:t>
      </w:r>
      <w:proofErr w:type="gramStart"/>
      <w:r>
        <w:t>,  534</w:t>
      </w:r>
      <w:proofErr w:type="gramEnd"/>
      <w:r>
        <w:t xml:space="preserve"> (1992).      </w:t>
      </w:r>
      <w:r>
        <w:rPr>
          <w:spacing w:val="2"/>
        </w:rPr>
        <w:t xml:space="preserve"> </w:t>
      </w:r>
      <w:proofErr w:type="gramStart"/>
      <w:r>
        <w:rPr>
          <w:spacing w:val="-2"/>
        </w:rPr>
        <w:t xml:space="preserve">The  </w:t>
      </w:r>
      <w:r>
        <w:t>complaint</w:t>
      </w:r>
      <w:proofErr w:type="gramEnd"/>
      <w:r>
        <w:t xml:space="preserve"> filed in this case alleges that the Defendants were all entities</w:t>
      </w:r>
    </w:p>
    <w:p w:rsidR="002A1594" w:rsidRDefault="00073D1D">
      <w:pPr>
        <w:pStyle w:val="BodyText"/>
        <w:ind w:left="4371" w:right="4369"/>
        <w:jc w:val="center"/>
      </w:pPr>
      <w:r>
        <w:t>24</w:t>
      </w:r>
    </w:p>
    <w:p w:rsidR="002A1594" w:rsidRDefault="002A1594">
      <w:pPr>
        <w:jc w:val="center"/>
        <w:sectPr w:rsidR="002A1594">
          <w:pgSz w:w="12240" w:h="15840"/>
          <w:pgMar w:top="540" w:right="162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101"/>
        <w:jc w:val="both"/>
        <w:rPr>
          <w:rFonts w:cs="Palatino Linotype"/>
        </w:rPr>
      </w:pPr>
      <w:r>
        <w:rPr>
          <w:rFonts w:cs="Palatino Linotype"/>
        </w:rPr>
        <w:t>“</w:t>
      </w:r>
      <w:proofErr w:type="gramStart"/>
      <w:r>
        <w:rPr>
          <w:rFonts w:cs="Palatino Linotype"/>
        </w:rPr>
        <w:t>covered</w:t>
      </w:r>
      <w:proofErr w:type="gramEnd"/>
      <w:r>
        <w:rPr>
          <w:rFonts w:cs="Palatino Linotype"/>
        </w:rPr>
        <w:t xml:space="preserve">” under Title I. </w:t>
      </w:r>
      <w:r>
        <w:t xml:space="preserve">(ECF No. 1 ¶¶ 4-10). At the pleadings stage, the EEOC was not </w:t>
      </w:r>
      <w:r>
        <w:rPr>
          <w:rFonts w:cs="Palatino Linotype"/>
        </w:rPr>
        <w:t xml:space="preserve">required to “pin [its] claim for relief to a precise legal </w:t>
      </w:r>
      <w:r>
        <w:rPr>
          <w:rFonts w:cs="Palatino Linotype"/>
          <w:spacing w:val="-4"/>
        </w:rPr>
        <w:t xml:space="preserve">theory.” </w:t>
      </w:r>
      <w:proofErr w:type="gramStart"/>
      <w:r>
        <w:rPr>
          <w:rFonts w:cs="Palatino Linotype"/>
          <w:i/>
        </w:rPr>
        <w:t xml:space="preserve">Skinner </w:t>
      </w:r>
      <w:r>
        <w:rPr>
          <w:rFonts w:cs="Palatino Linotype"/>
          <w:i/>
          <w:spacing w:val="-6"/>
        </w:rPr>
        <w:t xml:space="preserve">v. </w:t>
      </w:r>
      <w:r>
        <w:rPr>
          <w:rFonts w:cs="Palatino Linotype"/>
          <w:i/>
        </w:rPr>
        <w:t>Switzer</w:t>
      </w:r>
      <w:r>
        <w:t>, 131 S. Ct. 1289, 1296 (2011).</w:t>
      </w:r>
      <w:proofErr w:type="gramEnd"/>
      <w:r>
        <w:t xml:space="preserve"> </w:t>
      </w:r>
      <w:r>
        <w:rPr>
          <w:spacing w:val="-3"/>
        </w:rPr>
        <w:t xml:space="preserve">Consequently, </w:t>
      </w:r>
      <w:r>
        <w:t xml:space="preserve">the EEOC is not precluded from arguing that the </w:t>
      </w:r>
      <w:r>
        <w:rPr>
          <w:rFonts w:cs="Palatino Linotype"/>
        </w:rPr>
        <w:t>Defendants may be held liable as “joint</w:t>
      </w:r>
      <w:r>
        <w:rPr>
          <w:rFonts w:cs="Palatino Linotype"/>
          <w:spacing w:val="-18"/>
        </w:rPr>
        <w:t xml:space="preserve"> </w:t>
      </w:r>
      <w:r>
        <w:rPr>
          <w:rFonts w:cs="Palatino Linotype"/>
        </w:rPr>
        <w:t>employers.”</w:t>
      </w:r>
    </w:p>
    <w:p w:rsidR="002A1594" w:rsidRDefault="00073D1D">
      <w:pPr>
        <w:pStyle w:val="BodyText"/>
        <w:spacing w:before="0" w:line="480" w:lineRule="auto"/>
        <w:ind w:right="102" w:firstLine="719"/>
        <w:jc w:val="both"/>
      </w:pPr>
      <w:r>
        <w:t xml:space="preserve">In </w:t>
      </w:r>
      <w:r>
        <w:rPr>
          <w:rFonts w:cs="Palatino Linotype"/>
          <w:i/>
        </w:rPr>
        <w:t xml:space="preserve">Graves </w:t>
      </w:r>
      <w:r>
        <w:rPr>
          <w:rFonts w:cs="Palatino Linotype"/>
          <w:i/>
          <w:spacing w:val="-6"/>
        </w:rPr>
        <w:t xml:space="preserve">v. </w:t>
      </w:r>
      <w:r>
        <w:rPr>
          <w:rFonts w:cs="Palatino Linotype"/>
          <w:i/>
        </w:rPr>
        <w:t>Lowery</w:t>
      </w:r>
      <w:r>
        <w:t>, 117</w:t>
      </w:r>
      <w:r>
        <w:t xml:space="preserve"> </w:t>
      </w:r>
      <w:r>
        <w:rPr>
          <w:spacing w:val="-4"/>
        </w:rPr>
        <w:t xml:space="preserve">F.3d </w:t>
      </w:r>
      <w:r>
        <w:t xml:space="preserve">723, 727 (3d </w:t>
      </w:r>
      <w:r>
        <w:rPr>
          <w:spacing w:val="-4"/>
        </w:rPr>
        <w:t xml:space="preserve">Cir. </w:t>
      </w:r>
      <w:r>
        <w:t xml:space="preserve">1997), the Third Circuit recognized that two employers could </w:t>
      </w:r>
      <w:r>
        <w:rPr>
          <w:rFonts w:cs="Palatino Linotype"/>
        </w:rPr>
        <w:t>be viewed as “joint employers” if they “exer</w:t>
      </w:r>
      <w:r>
        <w:t xml:space="preserve">cise[d] significant </w:t>
      </w:r>
      <w:r>
        <w:rPr>
          <w:rFonts w:cs="Palatino Linotype"/>
        </w:rPr>
        <w:t xml:space="preserve">control over the same employees.” The EEOC relies on the reasoning employed in </w:t>
      </w:r>
      <w:r>
        <w:rPr>
          <w:rFonts w:cs="Palatino Linotype"/>
          <w:i/>
        </w:rPr>
        <w:t xml:space="preserve">Graves </w:t>
      </w:r>
      <w:r>
        <w:t>to hold the Defendant</w:t>
      </w:r>
      <w:r>
        <w:t xml:space="preserve">s collectively liable for any ADA violations perpetrated during the hiring process. (ECF No. 96 at 8-9). The situation in this case, </w:t>
      </w:r>
      <w:r>
        <w:rPr>
          <w:spacing w:val="-3"/>
        </w:rPr>
        <w:t xml:space="preserve">however, </w:t>
      </w:r>
      <w:r>
        <w:t xml:space="preserve">is meaningfully different from the situation in </w:t>
      </w:r>
      <w:r>
        <w:rPr>
          <w:rFonts w:cs="Palatino Linotype"/>
          <w:i/>
        </w:rPr>
        <w:t>Graves</w:t>
      </w:r>
      <w:r>
        <w:t xml:space="preserve">. </w:t>
      </w:r>
      <w:r>
        <w:rPr>
          <w:spacing w:val="-2"/>
        </w:rPr>
        <w:t xml:space="preserve">The </w:t>
      </w:r>
      <w:r>
        <w:t xml:space="preserve">defendants in </w:t>
      </w:r>
      <w:r>
        <w:rPr>
          <w:rFonts w:cs="Palatino Linotype"/>
          <w:i/>
        </w:rPr>
        <w:t xml:space="preserve">Graves </w:t>
      </w:r>
      <w:r>
        <w:t>independently satisfied the crite</w:t>
      </w:r>
      <w:r>
        <w:t xml:space="preserve">ria for coverage under Title VII. </w:t>
      </w:r>
      <w:r>
        <w:rPr>
          <w:rFonts w:cs="Palatino Linotype"/>
          <w:i/>
        </w:rPr>
        <w:t>Graves</w:t>
      </w:r>
      <w:r>
        <w:t xml:space="preserve">, 117 </w:t>
      </w:r>
      <w:r>
        <w:rPr>
          <w:spacing w:val="-4"/>
        </w:rPr>
        <w:t xml:space="preserve">F.3d </w:t>
      </w:r>
      <w:r>
        <w:t xml:space="preserve">at 724 (describing the employers </w:t>
      </w:r>
      <w:r>
        <w:rPr>
          <w:rFonts w:cs="Palatino Linotype"/>
        </w:rPr>
        <w:t xml:space="preserve">in question as “the judicial branch of the Commonwealth of Pennsylvania” and “Dauphin </w:t>
      </w:r>
      <w:r>
        <w:rPr>
          <w:rFonts w:cs="Palatino Linotype"/>
          <w:spacing w:val="-4"/>
        </w:rPr>
        <w:t xml:space="preserve">County,” </w:t>
      </w:r>
      <w:r>
        <w:rPr>
          <w:rFonts w:cs="Palatino Linotype"/>
        </w:rPr>
        <w:t xml:space="preserve">both of which had enough employees to satisfy Title </w:t>
      </w:r>
      <w:r>
        <w:rPr>
          <w:rFonts w:cs="Palatino Linotype"/>
          <w:spacing w:val="-6"/>
        </w:rPr>
        <w:t xml:space="preserve">VII’s </w:t>
      </w:r>
      <w:r>
        <w:rPr>
          <w:rFonts w:cs="Palatino Linotype"/>
        </w:rPr>
        <w:t>employee</w:t>
      </w:r>
      <w:r>
        <w:t>-numerosity</w:t>
      </w:r>
      <w:r>
        <w:t xml:space="preserve"> requirement). </w:t>
      </w:r>
      <w:r>
        <w:rPr>
          <w:spacing w:val="-2"/>
        </w:rPr>
        <w:t xml:space="preserve">The </w:t>
      </w:r>
      <w:r>
        <w:t xml:space="preserve">instant case is different because the EEOC is attempting to </w:t>
      </w:r>
      <w:proofErr w:type="gramStart"/>
      <w:r>
        <w:t>aggregate  the</w:t>
      </w:r>
      <w:proofErr w:type="gramEnd"/>
      <w:r>
        <w:t xml:space="preserve"> employees of Grane with those of the CCC (which had no employees at the time of the alleged discriminatory conduct) to </w:t>
      </w:r>
      <w:r>
        <w:rPr>
          <w:rFonts w:cs="Palatino Linotype"/>
        </w:rPr>
        <w:t xml:space="preserve">establish each </w:t>
      </w:r>
      <w:r>
        <w:rPr>
          <w:rFonts w:cs="Palatino Linotype"/>
          <w:spacing w:val="-3"/>
        </w:rPr>
        <w:t>entity’</w:t>
      </w:r>
      <w:r>
        <w:rPr>
          <w:spacing w:val="-3"/>
        </w:rPr>
        <w:t xml:space="preserve">s </w:t>
      </w:r>
      <w:r>
        <w:t xml:space="preserve">coverage under the </w:t>
      </w:r>
      <w:r>
        <w:t xml:space="preserve">ADA. This factor distinguishes the instant case from some of the cases relied </w:t>
      </w:r>
      <w:proofErr w:type="gramStart"/>
      <w:r>
        <w:t>upon  by</w:t>
      </w:r>
      <w:proofErr w:type="gramEnd"/>
      <w:r>
        <w:t xml:space="preserve"> the EEOC.  </w:t>
      </w:r>
      <w:proofErr w:type="gramStart"/>
      <w:r>
        <w:rPr>
          <w:rFonts w:cs="Palatino Linotype"/>
          <w:i/>
        </w:rPr>
        <w:t xml:space="preserve">King </w:t>
      </w:r>
      <w:r>
        <w:rPr>
          <w:rFonts w:cs="Palatino Linotype"/>
          <w:i/>
          <w:spacing w:val="-6"/>
        </w:rPr>
        <w:t xml:space="preserve">v. </w:t>
      </w:r>
      <w:r>
        <w:rPr>
          <w:rFonts w:cs="Palatino Linotype"/>
          <w:i/>
        </w:rPr>
        <w:t>Chrysler Corp.</w:t>
      </w:r>
      <w:r>
        <w:t xml:space="preserve">, 812 </w:t>
      </w:r>
      <w:r>
        <w:rPr>
          <w:spacing w:val="-8"/>
        </w:rPr>
        <w:t xml:space="preserve">F. </w:t>
      </w:r>
      <w:r>
        <w:t>Supp. 151, 153-54 (E.D. Mo. 1993).</w:t>
      </w:r>
      <w:proofErr w:type="gramEnd"/>
      <w:r>
        <w:t xml:space="preserve"> Since the dispute between </w:t>
      </w:r>
      <w:r>
        <w:rPr>
          <w:rFonts w:cs="Palatino Linotype"/>
        </w:rPr>
        <w:t xml:space="preserve">the parties centers on whether the CCC was subject to Title </w:t>
      </w:r>
      <w:r>
        <w:rPr>
          <w:rFonts w:cs="Palatino Linotype"/>
          <w:spacing w:val="-8"/>
        </w:rPr>
        <w:t xml:space="preserve">I’s </w:t>
      </w:r>
      <w:r>
        <w:rPr>
          <w:rFonts w:cs="Palatino Linotype"/>
        </w:rPr>
        <w:t xml:space="preserve">requirements </w:t>
      </w:r>
      <w:r>
        <w:t xml:space="preserve">rather than on whether an employment relationship existed between the CCC and a particular individual, greater scrutiny of this issue is required. </w:t>
      </w:r>
      <w:proofErr w:type="gramStart"/>
      <w:r>
        <w:rPr>
          <w:rFonts w:cs="Palatino Linotype"/>
          <w:i/>
        </w:rPr>
        <w:t xml:space="preserve">Butterbaugh </w:t>
      </w:r>
      <w:r>
        <w:rPr>
          <w:rFonts w:cs="Palatino Linotype"/>
          <w:i/>
          <w:spacing w:val="-6"/>
        </w:rPr>
        <w:t xml:space="preserve">v. </w:t>
      </w:r>
      <w:r>
        <w:rPr>
          <w:rFonts w:cs="Palatino Linotype"/>
          <w:i/>
        </w:rPr>
        <w:t>Chertoff</w:t>
      </w:r>
      <w:r>
        <w:t xml:space="preserve">, 479 </w:t>
      </w:r>
      <w:r>
        <w:rPr>
          <w:spacing w:val="-8"/>
        </w:rPr>
        <w:t xml:space="preserve">F. </w:t>
      </w:r>
      <w:r>
        <w:t>Supp.</w:t>
      </w:r>
      <w:proofErr w:type="gramEnd"/>
      <w:r>
        <w:t xml:space="preserve">  </w:t>
      </w:r>
      <w:proofErr w:type="gramStart"/>
      <w:r>
        <w:t xml:space="preserve">2d 485, 492 </w:t>
      </w:r>
      <w:r>
        <w:rPr>
          <w:spacing w:val="-5"/>
        </w:rPr>
        <w:t xml:space="preserve">(W.D. </w:t>
      </w:r>
      <w:r>
        <w:rPr>
          <w:spacing w:val="-3"/>
        </w:rPr>
        <w:t>Pa.</w:t>
      </w:r>
      <w:r>
        <w:rPr>
          <w:spacing w:val="9"/>
        </w:rPr>
        <w:t xml:space="preserve"> </w:t>
      </w:r>
      <w:r>
        <w:t>2007).</w:t>
      </w:r>
      <w:proofErr w:type="gramEnd"/>
    </w:p>
    <w:p w:rsidR="002A1594" w:rsidRDefault="00073D1D">
      <w:pPr>
        <w:pStyle w:val="BodyText"/>
        <w:ind w:left="4371" w:right="4369"/>
        <w:jc w:val="center"/>
      </w:pPr>
      <w:r>
        <w:t>25</w:t>
      </w:r>
    </w:p>
    <w:p w:rsidR="002A1594" w:rsidRDefault="002A1594">
      <w:pPr>
        <w:jc w:val="center"/>
        <w:sectPr w:rsidR="002A1594">
          <w:pgSz w:w="12240" w:h="15840"/>
          <w:pgMar w:top="540" w:right="162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101" w:firstLine="719"/>
        <w:jc w:val="both"/>
        <w:rPr>
          <w:rFonts w:cs="Palatino Linotype"/>
        </w:rPr>
      </w:pPr>
      <w:r>
        <w:t xml:space="preserve">In </w:t>
      </w:r>
      <w:r>
        <w:rPr>
          <w:rFonts w:cs="Palatino Linotype"/>
          <w:i/>
        </w:rPr>
        <w:t xml:space="preserve">Grane Health Care </w:t>
      </w:r>
      <w:r>
        <w:rPr>
          <w:rFonts w:cs="Palatino Linotype"/>
          <w:i/>
          <w:spacing w:val="-6"/>
        </w:rPr>
        <w:t xml:space="preserve">v. </w:t>
      </w:r>
      <w:r>
        <w:rPr>
          <w:rFonts w:cs="Palatino Linotype"/>
          <w:i/>
        </w:rPr>
        <w:t>NLRB</w:t>
      </w:r>
      <w:r>
        <w:t xml:space="preserve">, 712 </w:t>
      </w:r>
      <w:r>
        <w:rPr>
          <w:spacing w:val="-4"/>
        </w:rPr>
        <w:t xml:space="preserve">F.3d </w:t>
      </w:r>
      <w:r>
        <w:t xml:space="preserve">145, 155 (3d </w:t>
      </w:r>
      <w:r>
        <w:rPr>
          <w:spacing w:val="-3"/>
        </w:rPr>
        <w:t xml:space="preserve">Cir. </w:t>
      </w:r>
      <w:r>
        <w:t xml:space="preserve">2013), which also arose out </w:t>
      </w:r>
      <w:r>
        <w:rPr>
          <w:rFonts w:cs="Palatino Linotype"/>
        </w:rPr>
        <w:t xml:space="preserve">of labor disputes stemming from </w:t>
      </w:r>
      <w:r>
        <w:rPr>
          <w:rFonts w:cs="Palatino Linotype"/>
          <w:spacing w:val="-5"/>
        </w:rPr>
        <w:t xml:space="preserve">Grane’s </w:t>
      </w:r>
      <w:r>
        <w:rPr>
          <w:rFonts w:cs="Palatino Linotype"/>
        </w:rPr>
        <w:t>acquisition of the LCNRC</w:t>
      </w:r>
      <w:r>
        <w:t xml:space="preserve">, the Court of Appeals </w:t>
      </w:r>
      <w:r>
        <w:rPr>
          <w:rFonts w:cs="Palatino Linotype"/>
        </w:rPr>
        <w:t xml:space="preserve">affirmed a finding by the NLRB that Grane and the CCC constituted a “single employer,” </w:t>
      </w:r>
      <w:r>
        <w:t xml:space="preserve">thereby rendering them jointly and severally liable for certain violations of the National </w:t>
      </w:r>
      <w:r>
        <w:rPr>
          <w:rFonts w:cs="Palatino Linotype"/>
        </w:rPr>
        <w:t>Labor Relations Act (“NLRA”)</w:t>
      </w:r>
      <w:r>
        <w:t xml:space="preserve">. </w:t>
      </w:r>
      <w:r>
        <w:rPr>
          <w:spacing w:val="-2"/>
        </w:rPr>
        <w:t xml:space="preserve">The </w:t>
      </w:r>
      <w:r>
        <w:t xml:space="preserve">holding in </w:t>
      </w:r>
      <w:r>
        <w:rPr>
          <w:rFonts w:cs="Palatino Linotype"/>
          <w:i/>
        </w:rPr>
        <w:t>Grane</w:t>
      </w:r>
      <w:r>
        <w:t xml:space="preserve">, </w:t>
      </w:r>
      <w:r>
        <w:rPr>
          <w:spacing w:val="-3"/>
        </w:rPr>
        <w:t xml:space="preserve">however, </w:t>
      </w:r>
      <w:r>
        <w:t xml:space="preserve">lacks dispositive force in this case for two reasons. </w:t>
      </w:r>
      <w:r>
        <w:rPr>
          <w:rFonts w:cs="Palatino Linotype"/>
        </w:rPr>
        <w:t>First, the Court of Appeals was required to review</w:t>
      </w:r>
      <w:r>
        <w:rPr>
          <w:rFonts w:cs="Palatino Linotype"/>
        </w:rPr>
        <w:t xml:space="preserve"> the </w:t>
      </w:r>
      <w:r>
        <w:rPr>
          <w:rFonts w:cs="Palatino Linotype"/>
          <w:spacing w:val="-5"/>
        </w:rPr>
        <w:t xml:space="preserve">NLRB’s </w:t>
      </w:r>
      <w:r>
        <w:rPr>
          <w:rFonts w:cs="Palatino Linotype"/>
        </w:rPr>
        <w:t xml:space="preserve">factual findings pursuant to the evidentiary standard of “substantial evidence,” which is </w:t>
      </w:r>
      <w:r>
        <w:t xml:space="preserve">highly deferential. </w:t>
      </w:r>
      <w:proofErr w:type="gramStart"/>
      <w:r>
        <w:t>29 U.S.C. § 160(e).</w:t>
      </w:r>
      <w:proofErr w:type="gramEnd"/>
      <w:r>
        <w:t xml:space="preserve"> I</w:t>
      </w:r>
      <w:r>
        <w:rPr>
          <w:rFonts w:cs="Palatino Linotype"/>
        </w:rPr>
        <w:t xml:space="preserve">n this case, the </w:t>
      </w:r>
      <w:r>
        <w:rPr>
          <w:rFonts w:cs="Palatino Linotype"/>
          <w:spacing w:val="-6"/>
        </w:rPr>
        <w:t xml:space="preserve">CCC’s </w:t>
      </w:r>
      <w:r>
        <w:rPr>
          <w:rFonts w:cs="Palatino Linotype"/>
        </w:rPr>
        <w:t xml:space="preserve">coverage under Title I is “an element of [the </w:t>
      </w:r>
      <w:r>
        <w:rPr>
          <w:rFonts w:cs="Palatino Linotype"/>
          <w:spacing w:val="-5"/>
        </w:rPr>
        <w:t xml:space="preserve">EEOC’s] </w:t>
      </w:r>
      <w:r>
        <w:rPr>
          <w:rFonts w:cs="Palatino Linotype"/>
        </w:rPr>
        <w:t xml:space="preserve">claim for relief” that must be established </w:t>
      </w:r>
      <w:r>
        <w:t xml:space="preserve">based on the evidence contained in the record. </w:t>
      </w:r>
      <w:proofErr w:type="gramStart"/>
      <w:r>
        <w:rPr>
          <w:rFonts w:cs="Palatino Linotype"/>
          <w:i/>
        </w:rPr>
        <w:t xml:space="preserve">Arbaugh </w:t>
      </w:r>
      <w:r>
        <w:rPr>
          <w:rFonts w:cs="Palatino Linotype"/>
          <w:i/>
          <w:spacing w:val="-6"/>
        </w:rPr>
        <w:t xml:space="preserve">v. </w:t>
      </w:r>
      <w:r>
        <w:rPr>
          <w:rFonts w:cs="Palatino Linotype"/>
          <w:i/>
        </w:rPr>
        <w:t>Y&amp;H Corp.</w:t>
      </w:r>
      <w:r>
        <w:t>, 546 U.S. 500, 516 (2006).</w:t>
      </w:r>
      <w:proofErr w:type="gramEnd"/>
      <w:r>
        <w:t xml:space="preserve">  Second, the </w:t>
      </w:r>
      <w:proofErr w:type="gramStart"/>
      <w:r>
        <w:t>test  for</w:t>
      </w:r>
      <w:proofErr w:type="gramEnd"/>
      <w:r>
        <w:t xml:space="preserve"> determining whethe</w:t>
      </w:r>
      <w:r>
        <w:rPr>
          <w:rFonts w:cs="Palatino Linotype"/>
        </w:rPr>
        <w:t xml:space="preserve">r two entities constitute a “single employer” for purposes of the </w:t>
      </w:r>
      <w:r>
        <w:t>NLRA does n</w:t>
      </w:r>
      <w:r>
        <w:t xml:space="preserve">ot apply in cases involving anti-discrimination statutes such as the ADA and Title VII. In the present context, the more exacting test announced in </w:t>
      </w:r>
      <w:r>
        <w:rPr>
          <w:rFonts w:cs="Palatino Linotype"/>
          <w:i/>
        </w:rPr>
        <w:t xml:space="preserve">Nesbit </w:t>
      </w:r>
      <w:r>
        <w:rPr>
          <w:rFonts w:cs="Palatino Linotype"/>
          <w:i/>
          <w:spacing w:val="-6"/>
        </w:rPr>
        <w:t xml:space="preserve">v. </w:t>
      </w:r>
      <w:r>
        <w:rPr>
          <w:rFonts w:cs="Palatino Linotype"/>
          <w:i/>
        </w:rPr>
        <w:t>Gears Unlimited, Inc.</w:t>
      </w:r>
      <w:r>
        <w:t xml:space="preserve">, 347 </w:t>
      </w:r>
      <w:r>
        <w:rPr>
          <w:spacing w:val="-4"/>
        </w:rPr>
        <w:t xml:space="preserve">F.3d </w:t>
      </w:r>
      <w:r>
        <w:t>72, 84-</w:t>
      </w:r>
      <w:r>
        <w:rPr>
          <w:rFonts w:cs="Palatino Linotype"/>
        </w:rPr>
        <w:t xml:space="preserve">89 (3d </w:t>
      </w:r>
      <w:r>
        <w:rPr>
          <w:rFonts w:cs="Palatino Linotype"/>
          <w:spacing w:val="-4"/>
        </w:rPr>
        <w:t xml:space="preserve">Cir. </w:t>
      </w:r>
      <w:r>
        <w:rPr>
          <w:rFonts w:cs="Palatino Linotype"/>
        </w:rPr>
        <w:t xml:space="preserve">2003), governs the question of whether </w:t>
      </w:r>
      <w:r>
        <w:rPr>
          <w:rFonts w:cs="Palatino Linotype"/>
          <w:spacing w:val="-4"/>
        </w:rPr>
        <w:t xml:space="preserve">Grane’s </w:t>
      </w:r>
      <w:r>
        <w:rPr>
          <w:rFonts w:cs="Palatino Linotype"/>
        </w:rPr>
        <w:t xml:space="preserve">employees can be added to the CCC to bring the CCC within Title </w:t>
      </w:r>
      <w:r>
        <w:rPr>
          <w:rFonts w:cs="Palatino Linotype"/>
          <w:spacing w:val="-9"/>
        </w:rPr>
        <w:t xml:space="preserve">I’s </w:t>
      </w:r>
      <w:r>
        <w:rPr>
          <w:rFonts w:cs="Palatino Linotype"/>
        </w:rPr>
        <w:t xml:space="preserve">coverage at the time </w:t>
      </w:r>
      <w:r>
        <w:t xml:space="preserve">of the alleged discrimination. </w:t>
      </w:r>
      <w:r>
        <w:rPr>
          <w:rFonts w:cs="Palatino Linotype"/>
          <w:i/>
        </w:rPr>
        <w:t>Myers</w:t>
      </w:r>
      <w:r>
        <w:t xml:space="preserve">, 679 </w:t>
      </w:r>
      <w:r>
        <w:rPr>
          <w:spacing w:val="-8"/>
        </w:rPr>
        <w:t xml:space="preserve">F. </w:t>
      </w:r>
      <w:r>
        <w:t xml:space="preserve">Supp. 2d at 608 (explaining that </w:t>
      </w:r>
      <w:r>
        <w:rPr>
          <w:rFonts w:cs="Palatino Linotype"/>
          <w:i/>
        </w:rPr>
        <w:t xml:space="preserve">Nesbit </w:t>
      </w:r>
      <w:r>
        <w:t>add</w:t>
      </w:r>
      <w:r>
        <w:rPr>
          <w:rFonts w:cs="Palatino Linotype"/>
        </w:rPr>
        <w:t xml:space="preserve">resses “the specific situation in which a plaintiff seeks to evade Title </w:t>
      </w:r>
      <w:r>
        <w:rPr>
          <w:rFonts w:cs="Palatino Linotype"/>
          <w:spacing w:val="-5"/>
        </w:rPr>
        <w:t xml:space="preserve">VII’s </w:t>
      </w:r>
      <w:r>
        <w:rPr>
          <w:rFonts w:cs="Palatino Linotype"/>
        </w:rPr>
        <w:t xml:space="preserve">minimum size requirements by ‘consolidating’ a defendant with an affiliated </w:t>
      </w:r>
      <w:r>
        <w:rPr>
          <w:rFonts w:cs="Palatino Linotype"/>
          <w:spacing w:val="-5"/>
        </w:rPr>
        <w:t xml:space="preserve">entity, </w:t>
      </w:r>
      <w:r>
        <w:rPr>
          <w:rFonts w:cs="Palatino Linotype"/>
        </w:rPr>
        <w:t>thus allowing  the employees of both entities to count toward the statutory</w:t>
      </w:r>
      <w:r>
        <w:rPr>
          <w:rFonts w:cs="Palatino Linotype"/>
          <w:spacing w:val="-26"/>
        </w:rPr>
        <w:t xml:space="preserve"> </w:t>
      </w:r>
      <w:r>
        <w:rPr>
          <w:rFonts w:cs="Palatino Linotype"/>
        </w:rPr>
        <w:t>minimum”).</w:t>
      </w:r>
    </w:p>
    <w:p w:rsidR="002A1594" w:rsidRDefault="00073D1D">
      <w:pPr>
        <w:pStyle w:val="BodyText"/>
        <w:spacing w:before="0" w:line="480" w:lineRule="auto"/>
        <w:ind w:right="103" w:firstLine="719"/>
        <w:jc w:val="both"/>
      </w:pPr>
      <w:r>
        <w:t>The existing record does not shed much light on the terms of the asset purchase agree</w:t>
      </w:r>
      <w:r>
        <w:t>ment, the relationship between Grane and its affiliates, or the circumstances  in which  the  Defendants  have  collectively  engaged  in  the  management of  the  facility</w:t>
      </w:r>
      <w:r>
        <w:rPr>
          <w:spacing w:val="14"/>
        </w:rPr>
        <w:t xml:space="preserve"> </w:t>
      </w:r>
      <w:r>
        <w:t>at</w:t>
      </w:r>
    </w:p>
    <w:p w:rsidR="002A1594" w:rsidRDefault="00073D1D">
      <w:pPr>
        <w:pStyle w:val="BodyText"/>
        <w:ind w:left="4371" w:right="4369"/>
        <w:jc w:val="center"/>
      </w:pPr>
      <w:r>
        <w:t>26</w:t>
      </w:r>
    </w:p>
    <w:p w:rsidR="002A1594" w:rsidRDefault="002A1594">
      <w:pPr>
        <w:jc w:val="center"/>
        <w:sectPr w:rsidR="002A1594">
          <w:pgSz w:w="12240" w:h="15840"/>
          <w:pgMar w:top="540" w:right="162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101"/>
        <w:jc w:val="both"/>
      </w:pPr>
      <w:proofErr w:type="gramStart"/>
      <w:r>
        <w:t>issue</w:t>
      </w:r>
      <w:proofErr w:type="gramEnd"/>
      <w:r>
        <w:t>. Th</w:t>
      </w:r>
      <w:r>
        <w:rPr>
          <w:rFonts w:cs="Palatino Linotype"/>
        </w:rPr>
        <w:t xml:space="preserve">e </w:t>
      </w:r>
      <w:r>
        <w:rPr>
          <w:rFonts w:cs="Palatino Linotype"/>
          <w:spacing w:val="-9"/>
        </w:rPr>
        <w:t xml:space="preserve">ADA’s </w:t>
      </w:r>
      <w:r>
        <w:t>15-</w:t>
      </w:r>
      <w:r>
        <w:rPr>
          <w:rFonts w:cs="Palatino Linotype"/>
        </w:rPr>
        <w:t xml:space="preserve">employee coverage requirement must be “strictly construed.” </w:t>
      </w:r>
      <w:r>
        <w:rPr>
          <w:rFonts w:cs="Palatino Linotype"/>
          <w:i/>
        </w:rPr>
        <w:t>Nesbit</w:t>
      </w:r>
      <w:r>
        <w:t xml:space="preserve">, </w:t>
      </w:r>
      <w:proofErr w:type="gramStart"/>
      <w:r>
        <w:rPr>
          <w:rFonts w:cs="Palatino Linotype"/>
        </w:rPr>
        <w:t xml:space="preserve">347 </w:t>
      </w:r>
      <w:r>
        <w:rPr>
          <w:rFonts w:cs="Palatino Linotype"/>
          <w:spacing w:val="-5"/>
        </w:rPr>
        <w:t xml:space="preserve">F.3d </w:t>
      </w:r>
      <w:r>
        <w:rPr>
          <w:rFonts w:cs="Palatino Linotype"/>
        </w:rPr>
        <w:t>at 85</w:t>
      </w:r>
      <w:proofErr w:type="gramEnd"/>
      <w:r>
        <w:rPr>
          <w:rFonts w:cs="Palatino Linotype"/>
        </w:rPr>
        <w:t xml:space="preserve">. That requirement “relates to the substantive adequacy” of the </w:t>
      </w:r>
      <w:r>
        <w:rPr>
          <w:rFonts w:cs="Palatino Linotype"/>
          <w:spacing w:val="-5"/>
        </w:rPr>
        <w:t xml:space="preserve">EEOC’s </w:t>
      </w:r>
      <w:r>
        <w:rPr>
          <w:rFonts w:cs="Palatino Linotype"/>
        </w:rPr>
        <w:t xml:space="preserve">case. </w:t>
      </w:r>
      <w:r>
        <w:rPr>
          <w:rFonts w:cs="Palatino Linotype"/>
          <w:i/>
        </w:rPr>
        <w:t>Arbaugh</w:t>
      </w:r>
      <w:r>
        <w:t xml:space="preserve">, 546 U.S. at 504. Since there are unresolved questions as to whether Grane </w:t>
      </w:r>
      <w:proofErr w:type="gramStart"/>
      <w:r>
        <w:t xml:space="preserve">and  </w:t>
      </w:r>
      <w:r>
        <w:rPr>
          <w:rFonts w:cs="Palatino Linotype"/>
        </w:rPr>
        <w:t>the</w:t>
      </w:r>
      <w:proofErr w:type="gramEnd"/>
      <w:r>
        <w:rPr>
          <w:rFonts w:cs="Palatino Linotype"/>
        </w:rPr>
        <w:t xml:space="preserve"> CCC c</w:t>
      </w:r>
      <w:r>
        <w:rPr>
          <w:rFonts w:cs="Palatino Linotype"/>
        </w:rPr>
        <w:t xml:space="preserve">onstituted a “single employer” during the 2009 hiring process, the </w:t>
      </w:r>
      <w:r>
        <w:rPr>
          <w:rFonts w:cs="Palatino Linotype"/>
          <w:spacing w:val="-5"/>
        </w:rPr>
        <w:t xml:space="preserve">EEOC’s </w:t>
      </w:r>
      <w:r>
        <w:t>motion for partial summary judgment will be denied with respect to the</w:t>
      </w:r>
      <w:r>
        <w:rPr>
          <w:spacing w:val="-26"/>
        </w:rPr>
        <w:t xml:space="preserve"> </w:t>
      </w:r>
      <w:r>
        <w:t>CCC.</w:t>
      </w:r>
    </w:p>
    <w:p w:rsidR="002A1594" w:rsidRDefault="002A1594">
      <w:pPr>
        <w:spacing w:before="12"/>
        <w:rPr>
          <w:rFonts w:ascii="Palatino Linotype" w:eastAsia="Palatino Linotype" w:hAnsi="Palatino Linotype" w:cs="Palatino Linotype"/>
          <w:sz w:val="17"/>
          <w:szCs w:val="17"/>
        </w:rPr>
      </w:pPr>
    </w:p>
    <w:p w:rsidR="002A1594" w:rsidRDefault="00073D1D">
      <w:pPr>
        <w:pStyle w:val="Heading3"/>
        <w:numPr>
          <w:ilvl w:val="1"/>
          <w:numId w:val="1"/>
        </w:numPr>
        <w:tabs>
          <w:tab w:val="left" w:pos="1549"/>
        </w:tabs>
        <w:jc w:val="left"/>
        <w:rPr>
          <w:rFonts w:cs="Palatino Linotype"/>
          <w:b w:val="0"/>
          <w:bCs w:val="0"/>
        </w:rPr>
      </w:pPr>
      <w:r>
        <w:rPr>
          <w:rFonts w:cs="Palatino Linotype"/>
        </w:rPr>
        <w:t xml:space="preserve">The </w:t>
      </w:r>
      <w:r>
        <w:rPr>
          <w:rFonts w:cs="Palatino Linotype"/>
          <w:spacing w:val="-3"/>
        </w:rPr>
        <w:t xml:space="preserve">EEOC’s </w:t>
      </w:r>
      <w:r>
        <w:rPr>
          <w:rFonts w:cs="Palatino Linotype"/>
        </w:rPr>
        <w:t>Satisfaction of the Applicable Conditions</w:t>
      </w:r>
      <w:r>
        <w:rPr>
          <w:rFonts w:cs="Palatino Linotype"/>
          <w:spacing w:val="-10"/>
        </w:rPr>
        <w:t xml:space="preserve"> </w:t>
      </w:r>
      <w:r>
        <w:rPr>
          <w:rFonts w:cs="Palatino Linotype"/>
        </w:rPr>
        <w:t>Precedent</w:t>
      </w:r>
    </w:p>
    <w:p w:rsidR="002A1594" w:rsidRDefault="002A1594">
      <w:pPr>
        <w:spacing w:before="13"/>
        <w:rPr>
          <w:rFonts w:ascii="Palatino Linotype" w:eastAsia="Palatino Linotype" w:hAnsi="Palatino Linotype" w:cs="Palatino Linotype"/>
          <w:b/>
          <w:bCs/>
          <w:sz w:val="21"/>
          <w:szCs w:val="21"/>
        </w:rPr>
      </w:pPr>
    </w:p>
    <w:p w:rsidR="002A1594" w:rsidRDefault="00073D1D">
      <w:pPr>
        <w:pStyle w:val="BodyText"/>
        <w:spacing w:before="0" w:line="480" w:lineRule="auto"/>
        <w:ind w:right="101" w:firstLine="719"/>
        <w:jc w:val="both"/>
      </w:pPr>
      <w:r>
        <w:t>The ADA incorporates T</w:t>
      </w:r>
      <w:r>
        <w:rPr>
          <w:rFonts w:cs="Palatino Linotype"/>
        </w:rPr>
        <w:t xml:space="preserve">itle </w:t>
      </w:r>
      <w:r>
        <w:rPr>
          <w:rFonts w:cs="Palatino Linotype"/>
          <w:spacing w:val="-5"/>
        </w:rPr>
        <w:t xml:space="preserve">VII’s </w:t>
      </w:r>
      <w:r>
        <w:rPr>
          <w:rFonts w:cs="Palatino Linotype"/>
        </w:rPr>
        <w:t>remedial</w:t>
      </w:r>
      <w:r>
        <w:rPr>
          <w:rFonts w:cs="Palatino Linotype"/>
        </w:rPr>
        <w:t xml:space="preserve"> scheme in cases involving employ</w:t>
      </w:r>
      <w:r>
        <w:t xml:space="preserve">ment discrimination. </w:t>
      </w:r>
      <w:proofErr w:type="gramStart"/>
      <w:r>
        <w:t>42 U.S.C. § 12117(a).</w:t>
      </w:r>
      <w:proofErr w:type="gramEnd"/>
      <w:r>
        <w:t xml:space="preserve"> The statutory protocol imposes certain conditions </w:t>
      </w:r>
      <w:r>
        <w:rPr>
          <w:rFonts w:cs="Palatino Linotype"/>
        </w:rPr>
        <w:t xml:space="preserve">precedent on the </w:t>
      </w:r>
      <w:r>
        <w:rPr>
          <w:rFonts w:cs="Palatino Linotype"/>
          <w:spacing w:val="-5"/>
        </w:rPr>
        <w:t xml:space="preserve">EEOC’s </w:t>
      </w:r>
      <w:r>
        <w:rPr>
          <w:rFonts w:cs="Palatino Linotype"/>
        </w:rPr>
        <w:t xml:space="preserve">ability to commence an action. </w:t>
      </w:r>
      <w:proofErr w:type="gramStart"/>
      <w:r>
        <w:rPr>
          <w:rFonts w:cs="Palatino Linotype"/>
          <w:i/>
        </w:rPr>
        <w:t xml:space="preserve">EEOC </w:t>
      </w:r>
      <w:r>
        <w:rPr>
          <w:rFonts w:cs="Palatino Linotype"/>
          <w:i/>
          <w:spacing w:val="-6"/>
        </w:rPr>
        <w:t xml:space="preserve">v. </w:t>
      </w:r>
      <w:r>
        <w:rPr>
          <w:rFonts w:cs="Palatino Linotype"/>
          <w:i/>
        </w:rPr>
        <w:t xml:space="preserve">Allegheny Airlines &amp; Steward &amp; Stewardess </w:t>
      </w:r>
      <w:r>
        <w:rPr>
          <w:rFonts w:cs="Palatino Linotype"/>
          <w:i/>
          <w:spacing w:val="-3"/>
        </w:rPr>
        <w:t>Div.</w:t>
      </w:r>
      <w:r>
        <w:rPr>
          <w:spacing w:val="-3"/>
        </w:rPr>
        <w:t xml:space="preserve">, </w:t>
      </w:r>
      <w:r>
        <w:t xml:space="preserve">436 </w:t>
      </w:r>
      <w:r>
        <w:rPr>
          <w:spacing w:val="-8"/>
        </w:rPr>
        <w:t xml:space="preserve">F. </w:t>
      </w:r>
      <w:r>
        <w:t xml:space="preserve">Supp. 1300, 1304 </w:t>
      </w:r>
      <w:r>
        <w:rPr>
          <w:spacing w:val="-4"/>
        </w:rPr>
        <w:t xml:space="preserve">(W.D. </w:t>
      </w:r>
      <w:r>
        <w:rPr>
          <w:spacing w:val="-3"/>
        </w:rPr>
        <w:t xml:space="preserve">Pa. </w:t>
      </w:r>
      <w:r>
        <w:t>1977).</w:t>
      </w:r>
      <w:proofErr w:type="gramEnd"/>
      <w:r>
        <w:t xml:space="preserve"> The process is initiated </w:t>
      </w:r>
      <w:r>
        <w:rPr>
          <w:rFonts w:cs="Palatino Linotype"/>
        </w:rPr>
        <w:t xml:space="preserve">“[w]hever a charge is filed by or on behalf of a person claiming to be aggrieved, or by a </w:t>
      </w:r>
      <w:r>
        <w:t xml:space="preserve">member of the Commission, alleging that an employer . . . has engaged in an unlawful employment </w:t>
      </w:r>
      <w:r>
        <w:rPr>
          <w:rFonts w:cs="Palatino Linotype"/>
        </w:rPr>
        <w:t xml:space="preserve">practice.” </w:t>
      </w:r>
      <w:proofErr w:type="gramStart"/>
      <w:r>
        <w:rPr>
          <w:rFonts w:cs="Palatino Linotype"/>
        </w:rPr>
        <w:t>42 U.S.C. § 2000e</w:t>
      </w:r>
      <w:r>
        <w:t>-5(b).</w:t>
      </w:r>
      <w:proofErr w:type="gramEnd"/>
      <w:r>
        <w:t xml:space="preserve"> After receiving a charge of discrimination, </w:t>
      </w:r>
      <w:r>
        <w:rPr>
          <w:rFonts w:cs="Palatino Linotype"/>
        </w:rPr>
        <w:t xml:space="preserve">the EEOC is required to “make an investigation thereof.” </w:t>
      </w:r>
      <w:r>
        <w:rPr>
          <w:rFonts w:cs="Palatino Linotype"/>
          <w:i/>
        </w:rPr>
        <w:t xml:space="preserve">Id. </w:t>
      </w:r>
      <w:r>
        <w:rPr>
          <w:rFonts w:cs="Palatino Linotype"/>
        </w:rPr>
        <w:t>If the EEOC “</w:t>
      </w:r>
      <w:proofErr w:type="gramStart"/>
      <w:r>
        <w:rPr>
          <w:rFonts w:cs="Palatino Linotype"/>
        </w:rPr>
        <w:t xml:space="preserve">determines  </w:t>
      </w:r>
      <w:r>
        <w:t>after</w:t>
      </w:r>
      <w:proofErr w:type="gramEnd"/>
      <w:r>
        <w:t xml:space="preserve"> such investigation that there is reasonable cause to believe that the charge is tr</w:t>
      </w:r>
      <w:r>
        <w:rPr>
          <w:rFonts w:cs="Palatino Linotype"/>
        </w:rPr>
        <w:t>ue,” it must “</w:t>
      </w:r>
      <w:r>
        <w:rPr>
          <w:rFonts w:cs="Palatino Linotype"/>
        </w:rPr>
        <w:t xml:space="preserve">endeavor to eliminate [the] unlawful employment practice by informal methods of conference, conciliation, and persuasion.” </w:t>
      </w:r>
      <w:r>
        <w:rPr>
          <w:rFonts w:cs="Palatino Linotype"/>
          <w:i/>
        </w:rPr>
        <w:t xml:space="preserve">Id. </w:t>
      </w:r>
      <w:r>
        <w:t xml:space="preserve">The EEOC may commence an enforcement action </w:t>
      </w:r>
      <w:r>
        <w:rPr>
          <w:rFonts w:cs="Palatino Linotype"/>
        </w:rPr>
        <w:t xml:space="preserve">only if it has been unable to secure an acceptable “conciliation agreement” from the </w:t>
      </w:r>
      <w:r>
        <w:t xml:space="preserve">offending </w:t>
      </w:r>
      <w:r>
        <w:rPr>
          <w:spacing w:val="-3"/>
        </w:rPr>
        <w:t xml:space="preserve">employer. </w:t>
      </w:r>
      <w:proofErr w:type="gramStart"/>
      <w:r>
        <w:t xml:space="preserve">42 U.S.C. § 2000e-5(f); </w:t>
      </w:r>
      <w:r>
        <w:rPr>
          <w:rFonts w:cs="Palatino Linotype"/>
          <w:i/>
        </w:rPr>
        <w:t xml:space="preserve">EEOC </w:t>
      </w:r>
      <w:r>
        <w:rPr>
          <w:rFonts w:cs="Palatino Linotype"/>
          <w:i/>
          <w:spacing w:val="-6"/>
        </w:rPr>
        <w:t>v.</w:t>
      </w:r>
      <w:proofErr w:type="gramEnd"/>
      <w:r>
        <w:rPr>
          <w:rFonts w:cs="Palatino Linotype"/>
          <w:i/>
          <w:spacing w:val="-6"/>
        </w:rPr>
        <w:t xml:space="preserve"> </w:t>
      </w:r>
      <w:r>
        <w:rPr>
          <w:rFonts w:cs="Palatino Linotype"/>
          <w:i/>
        </w:rPr>
        <w:t xml:space="preserve">Great Atlantic &amp; Pacific </w:t>
      </w:r>
      <w:r>
        <w:rPr>
          <w:rFonts w:cs="Palatino Linotype"/>
          <w:i/>
          <w:spacing w:val="-8"/>
        </w:rPr>
        <w:t xml:space="preserve">Tea </w:t>
      </w:r>
      <w:r>
        <w:rPr>
          <w:rFonts w:cs="Palatino Linotype"/>
          <w:i/>
        </w:rPr>
        <w:t>Co.</w:t>
      </w:r>
      <w:r>
        <w:t xml:space="preserve">, </w:t>
      </w:r>
      <w:proofErr w:type="gramStart"/>
      <w:r>
        <w:t xml:space="preserve">735  </w:t>
      </w:r>
      <w:r>
        <w:rPr>
          <w:rFonts w:cs="Palatino Linotype"/>
          <w:spacing w:val="-4"/>
        </w:rPr>
        <w:t>F.2d</w:t>
      </w:r>
      <w:proofErr w:type="gramEnd"/>
      <w:r>
        <w:rPr>
          <w:rFonts w:cs="Palatino Linotype"/>
          <w:spacing w:val="-4"/>
        </w:rPr>
        <w:t xml:space="preserve"> </w:t>
      </w:r>
      <w:r>
        <w:rPr>
          <w:rFonts w:cs="Palatino Linotype"/>
        </w:rPr>
        <w:t xml:space="preserve">69, 73 (3d </w:t>
      </w:r>
      <w:r>
        <w:rPr>
          <w:rFonts w:cs="Palatino Linotype"/>
          <w:spacing w:val="-4"/>
        </w:rPr>
        <w:t xml:space="preserve">Cir. </w:t>
      </w:r>
      <w:r>
        <w:rPr>
          <w:rFonts w:cs="Palatino Linotype"/>
        </w:rPr>
        <w:t xml:space="preserve">1984). “EEOC enforcement actions are not limited to the claims </w:t>
      </w:r>
      <w:r>
        <w:t>presented by the charging parties.  Any violations that the EEOC ascertains in th</w:t>
      </w:r>
      <w:r>
        <w:t xml:space="preserve">e  </w:t>
      </w:r>
      <w:r>
        <w:rPr>
          <w:spacing w:val="18"/>
        </w:rPr>
        <w:t xml:space="preserve"> </w:t>
      </w:r>
      <w:r>
        <w:t>course</w:t>
      </w:r>
    </w:p>
    <w:p w:rsidR="002A1594" w:rsidRDefault="002A1594">
      <w:pPr>
        <w:spacing w:before="2"/>
        <w:rPr>
          <w:rFonts w:ascii="Palatino Linotype" w:eastAsia="Palatino Linotype" w:hAnsi="Palatino Linotype" w:cs="Palatino Linotype"/>
          <w:sz w:val="26"/>
          <w:szCs w:val="26"/>
        </w:rPr>
      </w:pPr>
    </w:p>
    <w:p w:rsidR="002A1594" w:rsidRDefault="00073D1D">
      <w:pPr>
        <w:pStyle w:val="BodyText"/>
        <w:ind w:left="4371" w:right="4369"/>
        <w:jc w:val="center"/>
      </w:pPr>
      <w:r>
        <w:t>27</w:t>
      </w:r>
    </w:p>
    <w:p w:rsidR="002A1594" w:rsidRDefault="002A1594">
      <w:pPr>
        <w:jc w:val="center"/>
        <w:sectPr w:rsidR="002A1594">
          <w:pgSz w:w="12240" w:h="15840"/>
          <w:pgMar w:top="540" w:right="162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spacing w:before="28" w:line="480" w:lineRule="auto"/>
        <w:ind w:left="108" w:right="149"/>
        <w:rPr>
          <w:rFonts w:ascii="Palatino Linotype" w:eastAsia="Palatino Linotype" w:hAnsi="Palatino Linotype" w:cs="Palatino Linotype"/>
        </w:rPr>
      </w:pPr>
      <w:proofErr w:type="gramStart"/>
      <w:r>
        <w:rPr>
          <w:rFonts w:ascii="Palatino Linotype" w:eastAsia="Palatino Linotype" w:hAnsi="Palatino Linotype" w:cs="Palatino Linotype"/>
        </w:rPr>
        <w:t>of</w:t>
      </w:r>
      <w:proofErr w:type="gramEnd"/>
      <w:r>
        <w:rPr>
          <w:rFonts w:ascii="Palatino Linotype" w:eastAsia="Palatino Linotype" w:hAnsi="Palatino Linotype" w:cs="Palatino Linotype"/>
        </w:rPr>
        <w:t xml:space="preserve"> a reasonable investigation of the charging </w:t>
      </w:r>
      <w:r>
        <w:rPr>
          <w:rFonts w:ascii="Palatino Linotype" w:eastAsia="Palatino Linotype" w:hAnsi="Palatino Linotype" w:cs="Palatino Linotype"/>
          <w:spacing w:val="-5"/>
        </w:rPr>
        <w:t xml:space="preserve">party’s </w:t>
      </w:r>
      <w:r>
        <w:rPr>
          <w:rFonts w:ascii="Palatino Linotype" w:eastAsia="Palatino Linotype" w:hAnsi="Palatino Linotype" w:cs="Palatino Linotype"/>
        </w:rPr>
        <w:t xml:space="preserve">complaint are actionable.” </w:t>
      </w:r>
      <w:proofErr w:type="gramStart"/>
      <w:r>
        <w:rPr>
          <w:rFonts w:ascii="Palatino Linotype" w:eastAsia="Palatino Linotype" w:hAnsi="Palatino Linotype" w:cs="Palatino Linotype"/>
          <w:i/>
        </w:rPr>
        <w:t xml:space="preserve">Gen. </w:t>
      </w:r>
      <w:r>
        <w:rPr>
          <w:rFonts w:ascii="Palatino Linotype" w:eastAsia="Palatino Linotype" w:hAnsi="Palatino Linotype" w:cs="Palatino Linotype"/>
          <w:i/>
          <w:spacing w:val="-7"/>
        </w:rPr>
        <w:t>Tel.</w:t>
      </w:r>
      <w:r>
        <w:rPr>
          <w:rFonts w:ascii="Palatino Linotype" w:eastAsia="Palatino Linotype" w:hAnsi="Palatino Linotype" w:cs="Palatino Linotype"/>
          <w:i/>
          <w:spacing w:val="41"/>
        </w:rPr>
        <w:t xml:space="preserve"> </w:t>
      </w:r>
      <w:r>
        <w:rPr>
          <w:rFonts w:ascii="Palatino Linotype" w:eastAsia="Palatino Linotype" w:hAnsi="Palatino Linotype" w:cs="Palatino Linotype"/>
          <w:i/>
        </w:rPr>
        <w:t xml:space="preserve">Co. of the Northwest, Inc. </w:t>
      </w:r>
      <w:r>
        <w:rPr>
          <w:rFonts w:ascii="Palatino Linotype" w:eastAsia="Palatino Linotype" w:hAnsi="Palatino Linotype" w:cs="Palatino Linotype"/>
          <w:i/>
          <w:spacing w:val="-8"/>
        </w:rPr>
        <w:t xml:space="preserve">v. </w:t>
      </w:r>
      <w:r>
        <w:rPr>
          <w:rFonts w:ascii="Palatino Linotype" w:eastAsia="Palatino Linotype" w:hAnsi="Palatino Linotype" w:cs="Palatino Linotype"/>
          <w:i/>
        </w:rPr>
        <w:t>EEOC</w:t>
      </w:r>
      <w:r>
        <w:rPr>
          <w:rFonts w:ascii="Palatino Linotype" w:eastAsia="Palatino Linotype" w:hAnsi="Palatino Linotype" w:cs="Palatino Linotype"/>
        </w:rPr>
        <w:t>, 446 U.S. 318, 331</w:t>
      </w:r>
      <w:r>
        <w:rPr>
          <w:rFonts w:ascii="Palatino Linotype" w:eastAsia="Palatino Linotype" w:hAnsi="Palatino Linotype" w:cs="Palatino Linotype"/>
          <w:spacing w:val="-5"/>
        </w:rPr>
        <w:t xml:space="preserve"> </w:t>
      </w:r>
      <w:r>
        <w:rPr>
          <w:rFonts w:ascii="Palatino Linotype" w:eastAsia="Palatino Linotype" w:hAnsi="Palatino Linotype" w:cs="Palatino Linotype"/>
        </w:rPr>
        <w:t>(1980).</w:t>
      </w:r>
      <w:proofErr w:type="gramEnd"/>
    </w:p>
    <w:p w:rsidR="002A1594" w:rsidRDefault="00073D1D">
      <w:pPr>
        <w:pStyle w:val="BodyText"/>
        <w:spacing w:before="1" w:line="480" w:lineRule="auto"/>
        <w:ind w:right="102" w:firstLine="719"/>
        <w:jc w:val="both"/>
      </w:pPr>
      <w:r>
        <w:rPr>
          <w:rFonts w:cs="Palatino Linotype"/>
        </w:rPr>
        <w:t xml:space="preserve">Once a charge of discrimination is filed, “the EEOC is in command of the process” </w:t>
      </w:r>
      <w:r>
        <w:t xml:space="preserve">and exclusively </w:t>
      </w:r>
      <w:r>
        <w:rPr>
          <w:rFonts w:cs="Palatino Linotype"/>
        </w:rPr>
        <w:t xml:space="preserve">exercises “the authority to evaluate the strength of the public interest at stake.” </w:t>
      </w:r>
      <w:proofErr w:type="gramStart"/>
      <w:r>
        <w:rPr>
          <w:rFonts w:cs="Palatino Linotype"/>
          <w:i/>
        </w:rPr>
        <w:t xml:space="preserve">EEOC </w:t>
      </w:r>
      <w:r>
        <w:rPr>
          <w:rFonts w:cs="Palatino Linotype"/>
          <w:i/>
          <w:spacing w:val="-6"/>
        </w:rPr>
        <w:t xml:space="preserve">v. </w:t>
      </w:r>
      <w:r>
        <w:rPr>
          <w:rFonts w:cs="Palatino Linotype"/>
          <w:i/>
        </w:rPr>
        <w:t>Waffle House, Inc.</w:t>
      </w:r>
      <w:r>
        <w:t>, 534 U.S. 279, 291 (2002).</w:t>
      </w:r>
      <w:proofErr w:type="gramEnd"/>
      <w:r>
        <w:t xml:space="preserve"> A court entertaining</w:t>
      </w:r>
      <w:r>
        <w:t xml:space="preserve"> a </w:t>
      </w:r>
      <w:r>
        <w:rPr>
          <w:rFonts w:cs="Palatino Linotype"/>
        </w:rPr>
        <w:t>subsequent action brought by the EEOC may not “inquire into the suff</w:t>
      </w:r>
      <w:r>
        <w:t xml:space="preserve">iciency of [its] </w:t>
      </w:r>
      <w:r>
        <w:rPr>
          <w:rFonts w:cs="Palatino Linotype"/>
        </w:rPr>
        <w:t xml:space="preserve">investigation.” </w:t>
      </w:r>
      <w:proofErr w:type="gramStart"/>
      <w:r>
        <w:rPr>
          <w:rFonts w:cs="Palatino Linotype"/>
          <w:i/>
        </w:rPr>
        <w:t xml:space="preserve">EEOC </w:t>
      </w:r>
      <w:r>
        <w:rPr>
          <w:rFonts w:cs="Palatino Linotype"/>
          <w:i/>
          <w:spacing w:val="-6"/>
        </w:rPr>
        <w:t xml:space="preserve">v. </w:t>
      </w:r>
      <w:r>
        <w:rPr>
          <w:rFonts w:cs="Palatino Linotype"/>
          <w:i/>
        </w:rPr>
        <w:t>Keco Indus., Inc.</w:t>
      </w:r>
      <w:r>
        <w:t xml:space="preserve">, 748 </w:t>
      </w:r>
      <w:r>
        <w:rPr>
          <w:spacing w:val="-4"/>
        </w:rPr>
        <w:t xml:space="preserve">F.2d </w:t>
      </w:r>
      <w:r>
        <w:t xml:space="preserve">1097, 1100 (6th </w:t>
      </w:r>
      <w:r>
        <w:rPr>
          <w:spacing w:val="-4"/>
        </w:rPr>
        <w:t xml:space="preserve">Cir. </w:t>
      </w:r>
      <w:r>
        <w:t>1984).</w:t>
      </w:r>
      <w:proofErr w:type="gramEnd"/>
      <w:r>
        <w:t xml:space="preserve"> An inquiry of </w:t>
      </w:r>
      <w:r>
        <w:rPr>
          <w:rFonts w:cs="Palatino Linotype"/>
        </w:rPr>
        <w:t>that kind “would propel the court into the domain which Congress has set a</w:t>
      </w:r>
      <w:r>
        <w:rPr>
          <w:rFonts w:cs="Palatino Linotype"/>
        </w:rPr>
        <w:t xml:space="preserve">side exclusively for the administrative </w:t>
      </w:r>
      <w:r>
        <w:rPr>
          <w:rFonts w:cs="Palatino Linotype"/>
          <w:spacing w:val="-4"/>
        </w:rPr>
        <w:t xml:space="preserve">agency.” </w:t>
      </w:r>
      <w:proofErr w:type="gramStart"/>
      <w:r>
        <w:rPr>
          <w:rFonts w:cs="Palatino Linotype"/>
          <w:i/>
        </w:rPr>
        <w:t xml:space="preserve">SEC </w:t>
      </w:r>
      <w:r>
        <w:rPr>
          <w:rFonts w:cs="Palatino Linotype"/>
          <w:i/>
          <w:spacing w:val="-6"/>
        </w:rPr>
        <w:t xml:space="preserve">v. </w:t>
      </w:r>
      <w:r>
        <w:rPr>
          <w:rFonts w:cs="Palatino Linotype"/>
          <w:i/>
        </w:rPr>
        <w:t>Chenery Corp.</w:t>
      </w:r>
      <w:r>
        <w:t>, 332 U.S. 194, 196 (1947).</w:t>
      </w:r>
      <w:proofErr w:type="gramEnd"/>
      <w:r>
        <w:t xml:space="preserve"> </w:t>
      </w:r>
      <w:r>
        <w:rPr>
          <w:rFonts w:cs="Palatino Linotype"/>
        </w:rPr>
        <w:t xml:space="preserve">“[I]f the investigation gives rise to a reasonable belief that the charge is true” and subsequent attempts at conciliation are unsuccessful, the EEOC may “sue any of the alleged offenders.” </w:t>
      </w:r>
      <w:proofErr w:type="gramStart"/>
      <w:r>
        <w:rPr>
          <w:rFonts w:cs="Palatino Linotype"/>
          <w:i/>
        </w:rPr>
        <w:t xml:space="preserve">EEOC </w:t>
      </w:r>
      <w:r>
        <w:rPr>
          <w:rFonts w:cs="Palatino Linotype"/>
          <w:i/>
          <w:spacing w:val="-6"/>
        </w:rPr>
        <w:t xml:space="preserve">v. </w:t>
      </w:r>
      <w:r>
        <w:rPr>
          <w:rFonts w:cs="Palatino Linotype"/>
          <w:i/>
        </w:rPr>
        <w:t>Caterpillar, Inc.</w:t>
      </w:r>
      <w:r>
        <w:t xml:space="preserve">, 409 </w:t>
      </w:r>
      <w:r>
        <w:rPr>
          <w:spacing w:val="-5"/>
        </w:rPr>
        <w:t xml:space="preserve">F.3d </w:t>
      </w:r>
      <w:r>
        <w:t xml:space="preserve">831, 832 (7th </w:t>
      </w:r>
      <w:r>
        <w:rPr>
          <w:rFonts w:cs="Palatino Linotype"/>
          <w:spacing w:val="-4"/>
        </w:rPr>
        <w:t xml:space="preserve">Cir. </w:t>
      </w:r>
      <w:r>
        <w:rPr>
          <w:rFonts w:cs="Palatino Linotype"/>
        </w:rPr>
        <w:t>2005).</w:t>
      </w:r>
      <w:proofErr w:type="gramEnd"/>
      <w:r>
        <w:rPr>
          <w:rFonts w:cs="Palatino Linotype"/>
        </w:rPr>
        <w:t xml:space="preserve"> The </w:t>
      </w:r>
      <w:r>
        <w:rPr>
          <w:rFonts w:cs="Palatino Linotype"/>
          <w:spacing w:val="-5"/>
        </w:rPr>
        <w:t xml:space="preserve">EEOC’s </w:t>
      </w:r>
      <w:r>
        <w:rPr>
          <w:rFonts w:cs="Palatino Linotype"/>
        </w:rPr>
        <w:t xml:space="preserve">“preadjudication finding of reasonable cause” is not subject to judicial </w:t>
      </w:r>
      <w:r>
        <w:rPr>
          <w:rFonts w:cs="Palatino Linotype"/>
          <w:spacing w:val="-4"/>
        </w:rPr>
        <w:t xml:space="preserve">review. </w:t>
      </w:r>
      <w:proofErr w:type="gramStart"/>
      <w:r>
        <w:rPr>
          <w:rFonts w:cs="Palatino Linotype"/>
          <w:i/>
        </w:rPr>
        <w:t xml:space="preserve">Georator Corp. </w:t>
      </w:r>
      <w:r>
        <w:rPr>
          <w:rFonts w:cs="Palatino Linotype"/>
          <w:i/>
          <w:spacing w:val="-6"/>
        </w:rPr>
        <w:t xml:space="preserve">v. </w:t>
      </w:r>
      <w:r>
        <w:rPr>
          <w:rFonts w:cs="Palatino Linotype"/>
          <w:i/>
        </w:rPr>
        <w:t>EEOC</w:t>
      </w:r>
      <w:r>
        <w:t xml:space="preserve">, 592 </w:t>
      </w:r>
      <w:r>
        <w:rPr>
          <w:spacing w:val="-4"/>
        </w:rPr>
        <w:t xml:space="preserve">F.2d </w:t>
      </w:r>
      <w:r>
        <w:t xml:space="preserve">765, 767 (4th </w:t>
      </w:r>
      <w:r>
        <w:rPr>
          <w:spacing w:val="-4"/>
        </w:rPr>
        <w:t>Cir.</w:t>
      </w:r>
      <w:r>
        <w:rPr>
          <w:spacing w:val="7"/>
        </w:rPr>
        <w:t xml:space="preserve"> </w:t>
      </w:r>
      <w:r>
        <w:t>1979).</w:t>
      </w:r>
      <w:proofErr w:type="gramEnd"/>
    </w:p>
    <w:p w:rsidR="002A1594" w:rsidRDefault="00073D1D">
      <w:pPr>
        <w:pStyle w:val="BodyText"/>
        <w:spacing w:before="1" w:line="480" w:lineRule="auto"/>
        <w:ind w:right="101" w:firstLine="719"/>
        <w:jc w:val="both"/>
      </w:pPr>
      <w:r>
        <w:t xml:space="preserve">The Defendants </w:t>
      </w:r>
      <w:r>
        <w:rPr>
          <w:spacing w:val="-3"/>
        </w:rPr>
        <w:t xml:space="preserve">move </w:t>
      </w:r>
      <w:r>
        <w:t>for summary judgment on the ground that the EEOC never investigated whether the unsuccess</w:t>
      </w:r>
      <w:r>
        <w:t>ful applicants were not hired because of information revealed by the unlawful medical examinations and inquiries, or because of actual or perceived disabilities. (ECF No. 93 at 31-35). As an initial matter, the argument advanced by the Defendants, if merit</w:t>
      </w:r>
      <w:r>
        <w:t>orious, would not implicate the more than 300 § 12112(d</w:t>
      </w:r>
      <w:proofErr w:type="gramStart"/>
      <w:r>
        <w:t>)  claims</w:t>
      </w:r>
      <w:proofErr w:type="gramEnd"/>
      <w:r>
        <w:t xml:space="preserve"> asserted in this case. </w:t>
      </w:r>
      <w:r>
        <w:rPr>
          <w:rFonts w:cs="Palatino Linotype"/>
        </w:rPr>
        <w:t xml:space="preserve">A § 12112(d) violation occurs as soon as “an employer </w:t>
      </w:r>
      <w:r>
        <w:t xml:space="preserve">conducts an improper medical examination or asks an improper disability-related </w:t>
      </w:r>
      <w:r>
        <w:rPr>
          <w:rFonts w:cs="Palatino Linotype"/>
        </w:rPr>
        <w:t>question, regardless of the result</w:t>
      </w:r>
      <w:r>
        <w:rPr>
          <w:rFonts w:cs="Palatino Linotype"/>
        </w:rPr>
        <w:t xml:space="preserve">s or response.”      </w:t>
      </w:r>
      <w:r>
        <w:rPr>
          <w:rFonts w:cs="Palatino Linotype"/>
          <w:spacing w:val="31"/>
        </w:rPr>
        <w:t xml:space="preserve"> </w:t>
      </w:r>
      <w:proofErr w:type="gramStart"/>
      <w:r>
        <w:rPr>
          <w:rFonts w:cs="Palatino Linotype"/>
          <w:i/>
        </w:rPr>
        <w:t xml:space="preserve">Green </w:t>
      </w:r>
      <w:r>
        <w:rPr>
          <w:rFonts w:cs="Palatino Linotype"/>
          <w:i/>
          <w:spacing w:val="-6"/>
        </w:rPr>
        <w:t>v.</w:t>
      </w:r>
      <w:proofErr w:type="gramEnd"/>
      <w:r>
        <w:rPr>
          <w:rFonts w:cs="Palatino Linotype"/>
          <w:i/>
          <w:spacing w:val="-6"/>
        </w:rPr>
        <w:t xml:space="preserve">  </w:t>
      </w:r>
      <w:r>
        <w:rPr>
          <w:rFonts w:cs="Palatino Linotype"/>
          <w:i/>
        </w:rPr>
        <w:t>Joy Cone Co.</w:t>
      </w:r>
      <w:r>
        <w:t xml:space="preserve">, 107 </w:t>
      </w:r>
      <w:r>
        <w:rPr>
          <w:spacing w:val="-8"/>
        </w:rPr>
        <w:t xml:space="preserve">F. </w:t>
      </w:r>
      <w:r>
        <w:t>App</w:t>
      </w:r>
      <w:r>
        <w:rPr>
          <w:rFonts w:cs="Palatino Linotype"/>
        </w:rPr>
        <w:t>’</w:t>
      </w:r>
      <w:r>
        <w:t>x 278,</w:t>
      </w:r>
    </w:p>
    <w:p w:rsidR="002A1594" w:rsidRDefault="00073D1D">
      <w:pPr>
        <w:pStyle w:val="BodyText"/>
        <w:ind w:left="4371" w:right="4369"/>
        <w:jc w:val="center"/>
      </w:pPr>
      <w:r>
        <w:t>28</w:t>
      </w:r>
    </w:p>
    <w:p w:rsidR="002A1594" w:rsidRDefault="002A1594">
      <w:pPr>
        <w:jc w:val="center"/>
        <w:sectPr w:rsidR="002A1594">
          <w:pgSz w:w="12240" w:h="15840"/>
          <w:pgMar w:top="540" w:right="162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116"/>
        <w:jc w:val="both"/>
      </w:pPr>
      <w:r>
        <w:t xml:space="preserve">280 (3d </w:t>
      </w:r>
      <w:r>
        <w:rPr>
          <w:spacing w:val="-4"/>
        </w:rPr>
        <w:t xml:space="preserve">Cir. </w:t>
      </w:r>
      <w:r>
        <w:t>2004</w:t>
      </w:r>
      <w:proofErr w:type="gramStart"/>
      <w:r>
        <w:t>)(</w:t>
      </w:r>
      <w:proofErr w:type="gramEnd"/>
      <w:r>
        <w:t xml:space="preserve">unpublished). </w:t>
      </w:r>
      <w:r>
        <w:rPr>
          <w:spacing w:val="-2"/>
        </w:rPr>
        <w:t xml:space="preserve">The </w:t>
      </w:r>
      <w:r>
        <w:t>manner in which the illegally obtained information was used (or not used) has no bearing on whether the underlying prophylactic provisi</w:t>
      </w:r>
      <w:r>
        <w:t xml:space="preserve">ons were violated. </w:t>
      </w:r>
      <w:proofErr w:type="gramStart"/>
      <w:r>
        <w:rPr>
          <w:rFonts w:cs="Palatino Linotype"/>
          <w:i/>
        </w:rPr>
        <w:t>Katz</w:t>
      </w:r>
      <w:r>
        <w:t xml:space="preserve">, 845 </w:t>
      </w:r>
      <w:r>
        <w:rPr>
          <w:spacing w:val="-8"/>
        </w:rPr>
        <w:t xml:space="preserve">F. </w:t>
      </w:r>
      <w:r>
        <w:t>Supp. 2d at 545 n.7.</w:t>
      </w:r>
      <w:proofErr w:type="gramEnd"/>
      <w:r>
        <w:t xml:space="preserve"> </w:t>
      </w:r>
      <w:r>
        <w:rPr>
          <w:spacing w:val="-2"/>
        </w:rPr>
        <w:t xml:space="preserve">The </w:t>
      </w:r>
      <w:r>
        <w:t>issues raised by the Defendants relate solel</w:t>
      </w:r>
      <w:r>
        <w:rPr>
          <w:rFonts w:cs="Palatino Linotype"/>
        </w:rPr>
        <w:t xml:space="preserve">y to the subset of claims arising under § 12112(a). In any event, the Defendants’ </w:t>
      </w:r>
      <w:r>
        <w:t>contention that the § 12112(a) claims were never investigated is refuted by the</w:t>
      </w:r>
      <w:r>
        <w:rPr>
          <w:spacing w:val="-38"/>
        </w:rPr>
        <w:t xml:space="preserve"> </w:t>
      </w:r>
      <w:r>
        <w:t>record.</w:t>
      </w:r>
    </w:p>
    <w:p w:rsidR="002A1594" w:rsidRDefault="00073D1D">
      <w:pPr>
        <w:pStyle w:val="BodyText"/>
        <w:spacing w:before="1" w:line="480" w:lineRule="auto"/>
        <w:ind w:right="121" w:firstLine="719"/>
        <w:jc w:val="both"/>
        <w:rPr>
          <w:rFonts w:cs="Palatino Linotype"/>
        </w:rPr>
      </w:pPr>
      <w:r>
        <w:rPr>
          <w:rFonts w:cs="Palatino Linotype"/>
        </w:rPr>
        <w:t xml:space="preserve">Alan L. Archer </w:t>
      </w:r>
      <w:r>
        <w:rPr>
          <w:rFonts w:cs="Palatino Linotype"/>
          <w:spacing w:val="-3"/>
        </w:rPr>
        <w:t xml:space="preserve">(“Archer”), </w:t>
      </w:r>
      <w:r>
        <w:rPr>
          <w:rFonts w:cs="Palatino Linotype"/>
        </w:rPr>
        <w:t xml:space="preserve">the EEOC investigator deposed by the Defendants, testified that he had “looked at the evidence holistically” in order to determine whether </w:t>
      </w:r>
      <w:r>
        <w:t>un</w:t>
      </w:r>
      <w:r>
        <w:t xml:space="preserve">successful applicants to the CCC had been turned away because of disabling medical conditions. (ECF No. 100-2 at 10). He stated that his investigation had revealed the </w:t>
      </w:r>
      <w:r>
        <w:rPr>
          <w:rFonts w:cs="Palatino Linotype"/>
        </w:rPr>
        <w:t xml:space="preserve">existence of “identified medical conditions” suffered by a majority of the unsuccessful </w:t>
      </w:r>
      <w:r>
        <w:t>applicants, leading him to believe that several personnel decisions had been made based on impermissible factors. (</w:t>
      </w:r>
      <w:r>
        <w:rPr>
          <w:rFonts w:cs="Palatino Linotype"/>
          <w:i/>
        </w:rPr>
        <w:t xml:space="preserve">Id. </w:t>
      </w:r>
      <w:r>
        <w:t>at 9-10)</w:t>
      </w:r>
      <w:r>
        <w:rPr>
          <w:rFonts w:cs="Palatino Linotype"/>
        </w:rPr>
        <w:t xml:space="preserve">.  The Supreme Court has recognized that “a </w:t>
      </w:r>
      <w:proofErr w:type="gramStart"/>
      <w:r>
        <w:rPr>
          <w:rFonts w:cs="Palatino Linotype"/>
        </w:rPr>
        <w:t>policy  of</w:t>
      </w:r>
      <w:proofErr w:type="gramEnd"/>
      <w:r>
        <w:rPr>
          <w:rFonts w:cs="Palatino Linotype"/>
        </w:rPr>
        <w:t xml:space="preserve"> discriminatory decisionmaking” </w:t>
      </w:r>
      <w:r>
        <w:t xml:space="preserve">can sometimes </w:t>
      </w:r>
      <w:r>
        <w:rPr>
          <w:spacing w:val="-3"/>
        </w:rPr>
        <w:t xml:space="preserve">give </w:t>
      </w:r>
      <w:r>
        <w:t>rise to an inference tha</w:t>
      </w:r>
      <w:r>
        <w:t xml:space="preserve">t </w:t>
      </w:r>
      <w:r>
        <w:rPr>
          <w:rFonts w:cs="Palatino Linotype"/>
        </w:rPr>
        <w:t xml:space="preserve">“individual employment decisions were discriminatorily based.” </w:t>
      </w:r>
      <w:proofErr w:type="gramStart"/>
      <w:r>
        <w:rPr>
          <w:rFonts w:cs="Palatino Linotype"/>
          <w:i/>
        </w:rPr>
        <w:t xml:space="preserve">Int’l Bhd. of </w:t>
      </w:r>
      <w:r>
        <w:rPr>
          <w:rFonts w:cs="Palatino Linotype"/>
          <w:i/>
          <w:spacing w:val="-4"/>
        </w:rPr>
        <w:t xml:space="preserve">Teamsters </w:t>
      </w:r>
      <w:r>
        <w:rPr>
          <w:rFonts w:cs="Palatino Linotype"/>
          <w:i/>
          <w:spacing w:val="-8"/>
        </w:rPr>
        <w:t xml:space="preserve">v. </w:t>
      </w:r>
      <w:r>
        <w:rPr>
          <w:rFonts w:cs="Palatino Linotype"/>
          <w:i/>
        </w:rPr>
        <w:t>United States</w:t>
      </w:r>
      <w:r>
        <w:t>, 431 U.S. 324, 362 (1977</w:t>
      </w:r>
      <w:r>
        <w:rPr>
          <w:rFonts w:cs="Palatino Linotype"/>
        </w:rPr>
        <w:t>).</w:t>
      </w:r>
      <w:proofErr w:type="gramEnd"/>
      <w:r>
        <w:rPr>
          <w:rFonts w:cs="Palatino Linotype"/>
        </w:rPr>
        <w:t xml:space="preserve"> The </w:t>
      </w:r>
      <w:r>
        <w:rPr>
          <w:rFonts w:cs="Palatino Linotype"/>
          <w:spacing w:val="-5"/>
        </w:rPr>
        <w:t xml:space="preserve">EEOC’s </w:t>
      </w:r>
      <w:r>
        <w:rPr>
          <w:rFonts w:cs="Palatino Linotype"/>
        </w:rPr>
        <w:t xml:space="preserve">finding of “reasonable cause” is not </w:t>
      </w:r>
      <w:r>
        <w:t xml:space="preserve">judicially reviewable. </w:t>
      </w:r>
      <w:proofErr w:type="gramStart"/>
      <w:r>
        <w:rPr>
          <w:rFonts w:cs="Palatino Linotype"/>
          <w:i/>
        </w:rPr>
        <w:t xml:space="preserve">EEOC </w:t>
      </w:r>
      <w:r>
        <w:rPr>
          <w:rFonts w:cs="Palatino Linotype"/>
          <w:i/>
          <w:spacing w:val="-6"/>
        </w:rPr>
        <w:t xml:space="preserve">v. </w:t>
      </w:r>
      <w:r>
        <w:rPr>
          <w:rFonts w:cs="Palatino Linotype"/>
          <w:i/>
        </w:rPr>
        <w:t>Johnson Co.</w:t>
      </w:r>
      <w:r>
        <w:t xml:space="preserve">, 421 </w:t>
      </w:r>
      <w:r>
        <w:rPr>
          <w:spacing w:val="-8"/>
        </w:rPr>
        <w:t xml:space="preserve">F. </w:t>
      </w:r>
      <w:r>
        <w:t>Supp. 652, 657 (D. Minn.</w:t>
      </w:r>
      <w:r>
        <w:t xml:space="preserve"> 1975).</w:t>
      </w:r>
      <w:proofErr w:type="gramEnd"/>
      <w:r>
        <w:t xml:space="preserve"> The Defendants cannot evade the applicable limits on judicial review merely by contending that the multiple claims asserted in this case should have been investigated on </w:t>
      </w:r>
      <w:proofErr w:type="gramStart"/>
      <w:r>
        <w:t>a  piecemeal</w:t>
      </w:r>
      <w:proofErr w:type="gramEnd"/>
      <w:r>
        <w:t xml:space="preserve"> basis. </w:t>
      </w:r>
      <w:proofErr w:type="gramStart"/>
      <w:r>
        <w:rPr>
          <w:rFonts w:cs="Palatino Linotype"/>
          <w:i/>
        </w:rPr>
        <w:t xml:space="preserve">Serrano </w:t>
      </w:r>
      <w:r>
        <w:rPr>
          <w:rFonts w:cs="Palatino Linotype"/>
          <w:i/>
          <w:spacing w:val="-6"/>
        </w:rPr>
        <w:t xml:space="preserve">v. </w:t>
      </w:r>
      <w:r>
        <w:rPr>
          <w:rFonts w:cs="Palatino Linotype"/>
          <w:i/>
        </w:rPr>
        <w:t>EEOC</w:t>
      </w:r>
      <w:r>
        <w:t xml:space="preserve">, 699 </w:t>
      </w:r>
      <w:r>
        <w:rPr>
          <w:spacing w:val="-5"/>
        </w:rPr>
        <w:t xml:space="preserve">F.3d </w:t>
      </w:r>
      <w:r>
        <w:t xml:space="preserve">884, 904-05 (6th </w:t>
      </w:r>
      <w:r>
        <w:rPr>
          <w:spacing w:val="-4"/>
        </w:rPr>
        <w:t xml:space="preserve">Cir. </w:t>
      </w:r>
      <w:r>
        <w:t>2012).</w:t>
      </w:r>
      <w:proofErr w:type="gramEnd"/>
      <w:r>
        <w:t xml:space="preserve"> A c</w:t>
      </w:r>
      <w:r>
        <w:t xml:space="preserve">laim is subject to dismissal </w:t>
      </w:r>
      <w:r>
        <w:rPr>
          <w:rFonts w:cs="Palatino Linotype"/>
        </w:rPr>
        <w:t xml:space="preserve">only “if it is evident that the [EEOC] failed to even undertake an investigation” </w:t>
      </w:r>
      <w:r>
        <w:t xml:space="preserve">of the </w:t>
      </w:r>
      <w:r>
        <w:rPr>
          <w:spacing w:val="-3"/>
        </w:rPr>
        <w:t xml:space="preserve">matter. </w:t>
      </w:r>
      <w:proofErr w:type="gramStart"/>
      <w:r>
        <w:rPr>
          <w:rFonts w:cs="Palatino Linotype"/>
          <w:i/>
        </w:rPr>
        <w:t xml:space="preserve">EEOC </w:t>
      </w:r>
      <w:r>
        <w:rPr>
          <w:rFonts w:cs="Palatino Linotype"/>
          <w:i/>
          <w:spacing w:val="-6"/>
        </w:rPr>
        <w:t xml:space="preserve">v. </w:t>
      </w:r>
      <w:r>
        <w:rPr>
          <w:rFonts w:cs="Palatino Linotype"/>
          <w:i/>
        </w:rPr>
        <w:t>James Julian, Inc.</w:t>
      </w:r>
      <w:r>
        <w:t xml:space="preserve">, 736 </w:t>
      </w:r>
      <w:r>
        <w:rPr>
          <w:spacing w:val="-8"/>
        </w:rPr>
        <w:t xml:space="preserve">F. </w:t>
      </w:r>
      <w:r>
        <w:t>Supp. 59, 61 (D. Del. 1990).</w:t>
      </w:r>
      <w:proofErr w:type="gramEnd"/>
      <w:r>
        <w:t xml:space="preserve"> This Court has alr</w:t>
      </w:r>
      <w:r>
        <w:rPr>
          <w:rFonts w:cs="Palatino Linotype"/>
        </w:rPr>
        <w:t xml:space="preserve">eady   declared   that   it   “[w]ould   not   examine   the   adequacy   of   [the]     </w:t>
      </w:r>
      <w:r>
        <w:rPr>
          <w:rFonts w:cs="Palatino Linotype"/>
          <w:spacing w:val="53"/>
        </w:rPr>
        <w:t xml:space="preserve"> </w:t>
      </w:r>
      <w:r>
        <w:rPr>
          <w:rFonts w:cs="Palatino Linotype"/>
          <w:spacing w:val="-5"/>
        </w:rPr>
        <w:t>EEOC’s</w:t>
      </w:r>
    </w:p>
    <w:p w:rsidR="002A1594" w:rsidRDefault="00073D1D">
      <w:pPr>
        <w:pStyle w:val="BodyText"/>
        <w:ind w:left="4371" w:right="4388"/>
        <w:jc w:val="center"/>
      </w:pPr>
      <w:r>
        <w:t>29</w:t>
      </w:r>
    </w:p>
    <w:p w:rsidR="002A1594" w:rsidRDefault="002A1594">
      <w:pPr>
        <w:jc w:val="center"/>
        <w:sectPr w:rsidR="002A1594">
          <w:pgSz w:w="12240" w:h="15840"/>
          <w:pgMar w:top="540" w:right="160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102"/>
        <w:jc w:val="both"/>
      </w:pPr>
      <w:proofErr w:type="gramStart"/>
      <w:r>
        <w:rPr>
          <w:rFonts w:cs="Palatino Linotype"/>
        </w:rPr>
        <w:t>investigation</w:t>
      </w:r>
      <w:proofErr w:type="gramEnd"/>
      <w:r>
        <w:rPr>
          <w:rFonts w:cs="Palatino Linotype"/>
        </w:rPr>
        <w:t xml:space="preserve">.” </w:t>
      </w:r>
      <w:proofErr w:type="gramStart"/>
      <w:r>
        <w:t>(ECF No. 86 at 8).</w:t>
      </w:r>
      <w:proofErr w:type="gramEnd"/>
      <w:r>
        <w:t xml:space="preserve"> </w:t>
      </w:r>
      <w:r>
        <w:rPr>
          <w:spacing w:val="-2"/>
        </w:rPr>
        <w:t xml:space="preserve">The </w:t>
      </w:r>
      <w:r>
        <w:t xml:space="preserve">Defendants recite a litany of questions that, in their </w:t>
      </w:r>
      <w:r>
        <w:rPr>
          <w:rFonts w:cs="Palatino Linotype"/>
          <w:spacing w:val="-5"/>
        </w:rPr>
        <w:t xml:space="preserve">view, </w:t>
      </w:r>
      <w:r>
        <w:rPr>
          <w:rFonts w:cs="Palatino Linotype"/>
        </w:rPr>
        <w:t xml:space="preserve">should have been asked and answered during the course of </w:t>
      </w:r>
      <w:r>
        <w:rPr>
          <w:rFonts w:cs="Palatino Linotype"/>
          <w:spacing w:val="-3"/>
        </w:rPr>
        <w:t xml:space="preserve">Archer’s </w:t>
      </w:r>
      <w:r>
        <w:rPr>
          <w:rFonts w:cs="Palatino Linotype"/>
        </w:rPr>
        <w:t>inve</w:t>
      </w:r>
      <w:r>
        <w:t>stigation. (ECF No. 93 at 32-34)</w:t>
      </w:r>
      <w:r>
        <w:rPr>
          <w:rFonts w:cs="Palatino Linotype"/>
        </w:rPr>
        <w:t xml:space="preserve">. Since “[t]he statute clearly makes the EEOC the master of its own </w:t>
      </w:r>
      <w:r>
        <w:t>cas</w:t>
      </w:r>
      <w:r>
        <w:rPr>
          <w:rFonts w:cs="Palatino Linotype"/>
        </w:rPr>
        <w:t xml:space="preserve">e,” further consideration of the Defendants’ argument would contravene the express </w:t>
      </w:r>
      <w:r>
        <w:t xml:space="preserve">will of Congress.  </w:t>
      </w:r>
      <w:r>
        <w:rPr>
          <w:rFonts w:cs="Palatino Linotype"/>
          <w:i/>
        </w:rPr>
        <w:t>Waffle House</w:t>
      </w:r>
      <w:r>
        <w:t>, 534 U.S. at</w:t>
      </w:r>
      <w:r>
        <w:rPr>
          <w:spacing w:val="-15"/>
        </w:rPr>
        <w:t xml:space="preserve"> </w:t>
      </w:r>
      <w:r>
        <w:t>291.</w:t>
      </w:r>
    </w:p>
    <w:p w:rsidR="002A1594" w:rsidRDefault="002A1594">
      <w:pPr>
        <w:spacing w:before="12"/>
        <w:rPr>
          <w:rFonts w:ascii="Palatino Linotype" w:eastAsia="Palatino Linotype" w:hAnsi="Palatino Linotype" w:cs="Palatino Linotype"/>
          <w:sz w:val="17"/>
          <w:szCs w:val="17"/>
        </w:rPr>
      </w:pPr>
    </w:p>
    <w:p w:rsidR="002A1594" w:rsidRDefault="00073D1D">
      <w:pPr>
        <w:pStyle w:val="Heading3"/>
        <w:numPr>
          <w:ilvl w:val="1"/>
          <w:numId w:val="1"/>
        </w:numPr>
        <w:tabs>
          <w:tab w:val="left" w:pos="1549"/>
        </w:tabs>
        <w:jc w:val="both"/>
        <w:rPr>
          <w:b w:val="0"/>
          <w:bCs w:val="0"/>
        </w:rPr>
      </w:pPr>
      <w:r>
        <w:rPr>
          <w:rFonts w:cs="Palatino Linotype"/>
        </w:rPr>
        <w:t xml:space="preserve">The </w:t>
      </w:r>
      <w:r>
        <w:rPr>
          <w:rFonts w:cs="Palatino Linotype"/>
          <w:spacing w:val="-3"/>
        </w:rPr>
        <w:t xml:space="preserve">EEOC’s </w:t>
      </w:r>
      <w:r>
        <w:rPr>
          <w:rFonts w:cs="Palatino Linotype"/>
        </w:rPr>
        <w:t>Request for Injunctive</w:t>
      </w:r>
      <w:r>
        <w:rPr>
          <w:rFonts w:cs="Palatino Linotype"/>
          <w:spacing w:val="-3"/>
        </w:rPr>
        <w:t xml:space="preserve"> </w:t>
      </w:r>
      <w:r>
        <w:t>Relief</w:t>
      </w:r>
    </w:p>
    <w:p w:rsidR="002A1594" w:rsidRDefault="002A1594">
      <w:pPr>
        <w:spacing w:before="13"/>
        <w:rPr>
          <w:rFonts w:ascii="Palatino Linotype" w:eastAsia="Palatino Linotype" w:hAnsi="Palatino Linotype" w:cs="Palatino Linotype"/>
          <w:b/>
          <w:bCs/>
          <w:sz w:val="21"/>
          <w:szCs w:val="21"/>
        </w:rPr>
      </w:pPr>
    </w:p>
    <w:p w:rsidR="002A1594" w:rsidRDefault="00073D1D">
      <w:pPr>
        <w:pStyle w:val="BodyText"/>
        <w:spacing w:before="0" w:line="480" w:lineRule="auto"/>
        <w:ind w:right="101" w:firstLine="719"/>
        <w:jc w:val="both"/>
      </w:pPr>
      <w:r>
        <w:t xml:space="preserve">As discussed earlier, issues of material fact exist as to whether the CCC </w:t>
      </w:r>
      <w:r>
        <w:rPr>
          <w:spacing w:val="-3"/>
        </w:rPr>
        <w:t xml:space="preserve">was </w:t>
      </w:r>
      <w:r>
        <w:t xml:space="preserve">a </w:t>
      </w:r>
      <w:r>
        <w:rPr>
          <w:rFonts w:cs="Palatino Linotype"/>
        </w:rPr>
        <w:t xml:space="preserve">“covered entity” under the ADA at the time of the alleged discriminatory acts. The </w:t>
      </w:r>
      <w:r>
        <w:rPr>
          <w:rFonts w:cs="Palatino Linotype"/>
          <w:spacing w:val="-6"/>
        </w:rPr>
        <w:t xml:space="preserve">CCC’s </w:t>
      </w:r>
      <w:r>
        <w:rPr>
          <w:rFonts w:cs="Palatino Linotype"/>
        </w:rPr>
        <w:t xml:space="preserve">coverage under Title I is a “substantive ingredient” of the </w:t>
      </w:r>
      <w:proofErr w:type="gramStart"/>
      <w:r>
        <w:rPr>
          <w:rFonts w:cs="Palatino Linotype"/>
          <w:spacing w:val="-5"/>
        </w:rPr>
        <w:t xml:space="preserve">EEOC’s  </w:t>
      </w:r>
      <w:r>
        <w:rPr>
          <w:rFonts w:cs="Palatino Linotype"/>
        </w:rPr>
        <w:t>claims</w:t>
      </w:r>
      <w:proofErr w:type="gramEnd"/>
      <w:r>
        <w:rPr>
          <w:rFonts w:cs="Palatino Linotype"/>
        </w:rPr>
        <w:t xml:space="preserve">.      </w:t>
      </w:r>
      <w:r>
        <w:rPr>
          <w:rFonts w:cs="Palatino Linotype"/>
          <w:spacing w:val="19"/>
        </w:rPr>
        <w:t xml:space="preserve"> </w:t>
      </w:r>
      <w:r>
        <w:rPr>
          <w:rFonts w:cs="Palatino Linotype"/>
          <w:i/>
        </w:rPr>
        <w:t>Arbaugh</w:t>
      </w:r>
      <w:r>
        <w:t>, 546</w:t>
      </w:r>
    </w:p>
    <w:p w:rsidR="002A1594" w:rsidRDefault="00073D1D">
      <w:pPr>
        <w:pStyle w:val="BodyText"/>
        <w:spacing w:before="0" w:line="480" w:lineRule="auto"/>
        <w:ind w:right="101"/>
        <w:jc w:val="both"/>
      </w:pPr>
      <w:proofErr w:type="gramStart"/>
      <w:r>
        <w:rPr>
          <w:rFonts w:cs="Palatino Linotype"/>
        </w:rPr>
        <w:t>U.S. at 503.</w:t>
      </w:r>
      <w:proofErr w:type="gramEnd"/>
      <w:r>
        <w:rPr>
          <w:rFonts w:cs="Palatino Linotype"/>
        </w:rPr>
        <w:t xml:space="preserve"> Because the </w:t>
      </w:r>
      <w:r>
        <w:rPr>
          <w:rFonts w:cs="Palatino Linotype"/>
          <w:spacing w:val="-6"/>
        </w:rPr>
        <w:t xml:space="preserve">CCC’s </w:t>
      </w:r>
      <w:r>
        <w:rPr>
          <w:rFonts w:cs="Palatino Linotype"/>
        </w:rPr>
        <w:t xml:space="preserve">coverage has not been established as a </w:t>
      </w:r>
      <w:r>
        <w:t xml:space="preserve">matter of </w:t>
      </w:r>
      <w:r>
        <w:rPr>
          <w:spacing w:val="-6"/>
        </w:rPr>
        <w:t xml:space="preserve">law, </w:t>
      </w:r>
      <w:r>
        <w:t xml:space="preserve">the </w:t>
      </w:r>
      <w:r>
        <w:rPr>
          <w:rFonts w:cs="Palatino Linotype"/>
          <w:spacing w:val="-5"/>
        </w:rPr>
        <w:t xml:space="preserve">EEOC’s </w:t>
      </w:r>
      <w:r>
        <w:rPr>
          <w:rFonts w:cs="Palatino Linotype"/>
        </w:rPr>
        <w:t xml:space="preserve">motion for partial summary judgment will be denied with respect to </w:t>
      </w:r>
      <w:r>
        <w:t xml:space="preserve">the CCC. </w:t>
      </w:r>
      <w:r>
        <w:rPr>
          <w:rFonts w:cs="Palatino Linotype"/>
        </w:rPr>
        <w:t xml:space="preserve">Nonetheless, the record establishes that Grane, a “covered </w:t>
      </w:r>
      <w:r>
        <w:rPr>
          <w:rFonts w:cs="Palatino Linotype"/>
          <w:spacing w:val="-4"/>
        </w:rPr>
        <w:t xml:space="preserve">entity,” </w:t>
      </w:r>
      <w:r>
        <w:rPr>
          <w:rFonts w:cs="Palatino Linotype"/>
        </w:rPr>
        <w:t xml:space="preserve">violated § 12112(d) </w:t>
      </w:r>
      <w:r>
        <w:t xml:space="preserve">more than 300 times. </w:t>
      </w:r>
      <w:proofErr w:type="gramStart"/>
      <w:r>
        <w:t>(ECF No. 131 ¶ 2).</w:t>
      </w:r>
      <w:proofErr w:type="gramEnd"/>
      <w:r>
        <w:t xml:space="preserve"> Thus</w:t>
      </w:r>
      <w:r>
        <w:rPr>
          <w:rFonts w:cs="Palatino Linotype"/>
        </w:rPr>
        <w:t xml:space="preserve">, the </w:t>
      </w:r>
      <w:r>
        <w:rPr>
          <w:rFonts w:cs="Palatino Linotype"/>
          <w:spacing w:val="-5"/>
        </w:rPr>
        <w:t xml:space="preserve">EEOC’s </w:t>
      </w:r>
      <w:r>
        <w:rPr>
          <w:rFonts w:cs="Palatino Linotype"/>
        </w:rPr>
        <w:t>motio</w:t>
      </w:r>
      <w:r>
        <w:t>n for partial summary judgment</w:t>
      </w:r>
      <w:r>
        <w:t xml:space="preserve"> will be granted with respect </w:t>
      </w:r>
      <w:r>
        <w:rPr>
          <w:rFonts w:cs="Palatino Linotype"/>
        </w:rPr>
        <w:t xml:space="preserve">to </w:t>
      </w:r>
      <w:r>
        <w:rPr>
          <w:rFonts w:cs="Palatino Linotype"/>
          <w:spacing w:val="-5"/>
        </w:rPr>
        <w:t xml:space="preserve">Grane’s </w:t>
      </w:r>
      <w:r>
        <w:rPr>
          <w:rFonts w:cs="Palatino Linotype"/>
        </w:rPr>
        <w:t>liability f</w:t>
      </w:r>
      <w:r>
        <w:t>or the established</w:t>
      </w:r>
      <w:r>
        <w:rPr>
          <w:spacing w:val="-9"/>
        </w:rPr>
        <w:t xml:space="preserve"> </w:t>
      </w:r>
      <w:r>
        <w:t>violations.</w:t>
      </w:r>
    </w:p>
    <w:p w:rsidR="002A1594" w:rsidRDefault="00073D1D">
      <w:pPr>
        <w:pStyle w:val="BodyText"/>
        <w:spacing w:before="1" w:line="480" w:lineRule="auto"/>
        <w:ind w:right="103" w:firstLine="719"/>
        <w:jc w:val="both"/>
      </w:pPr>
      <w:r>
        <w:t xml:space="preserve">The EEOC asks that Grane be permanently enjoined from perpetrating further violations of § 12112(d). (ECF No. 95-1 at 9). The statutory provision upon which this request is </w:t>
      </w:r>
      <w:r>
        <w:t>based provides as</w:t>
      </w:r>
      <w:r>
        <w:rPr>
          <w:spacing w:val="-5"/>
        </w:rPr>
        <w:t xml:space="preserve"> </w:t>
      </w:r>
      <w:r>
        <w:t>follows:</w:t>
      </w:r>
    </w:p>
    <w:p w:rsidR="002A1594" w:rsidRDefault="00073D1D">
      <w:pPr>
        <w:pStyle w:val="BodyText"/>
        <w:spacing w:before="1"/>
        <w:ind w:left="828" w:right="825"/>
        <w:jc w:val="both"/>
      </w:pPr>
      <w:r>
        <w:t>If the court finds that the respondent has intentionally engaged in or is intentionally engaging in an unlawful employment practice charged in the complaint, the court may enjoin the respondent from engaging in such unlawful empl</w:t>
      </w:r>
      <w:r>
        <w:t xml:space="preserve">oyment practice, and order such affirmative action as may  be appropriate, which may include, but is not limited to, reinstatement or hiring of employees, with or without back pay (payable by the employer, employment </w:t>
      </w:r>
      <w:r>
        <w:rPr>
          <w:spacing w:val="-4"/>
        </w:rPr>
        <w:t xml:space="preserve">agency, </w:t>
      </w:r>
      <w:r>
        <w:t>or labor organization, as the c</w:t>
      </w:r>
      <w:r>
        <w:t xml:space="preserve">ase may be, </w:t>
      </w:r>
      <w:r>
        <w:rPr>
          <w:spacing w:val="35"/>
        </w:rPr>
        <w:t xml:space="preserve"> </w:t>
      </w:r>
      <w:r>
        <w:t>responsible</w:t>
      </w:r>
    </w:p>
    <w:p w:rsidR="002A1594" w:rsidRDefault="002A1594">
      <w:pPr>
        <w:rPr>
          <w:rFonts w:ascii="Palatino Linotype" w:eastAsia="Palatino Linotype" w:hAnsi="Palatino Linotype" w:cs="Palatino Linotype"/>
          <w:sz w:val="20"/>
          <w:szCs w:val="20"/>
        </w:rPr>
      </w:pPr>
    </w:p>
    <w:p w:rsidR="002A1594" w:rsidRDefault="002A1594">
      <w:pPr>
        <w:spacing w:before="2"/>
        <w:rPr>
          <w:rFonts w:ascii="Palatino Linotype" w:eastAsia="Palatino Linotype" w:hAnsi="Palatino Linotype" w:cs="Palatino Linotype"/>
          <w:sz w:val="28"/>
          <w:szCs w:val="28"/>
        </w:rPr>
      </w:pPr>
    </w:p>
    <w:p w:rsidR="002A1594" w:rsidRDefault="00073D1D">
      <w:pPr>
        <w:pStyle w:val="BodyText"/>
        <w:ind w:left="4371" w:right="4369"/>
        <w:jc w:val="center"/>
      </w:pPr>
      <w:r>
        <w:t>30</w:t>
      </w:r>
    </w:p>
    <w:p w:rsidR="002A1594" w:rsidRDefault="002A1594">
      <w:pPr>
        <w:jc w:val="center"/>
        <w:sectPr w:rsidR="002A1594">
          <w:headerReference w:type="default" r:id="rId13"/>
          <w:pgSz w:w="12240" w:h="15840"/>
          <w:pgMar w:top="540" w:right="162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ind w:left="828" w:right="481"/>
      </w:pPr>
      <w:proofErr w:type="gramStart"/>
      <w:r>
        <w:t>for</w:t>
      </w:r>
      <w:proofErr w:type="gramEnd"/>
      <w:r>
        <w:t xml:space="preserve"> the unlawful employment practice), or any other equitable relief </w:t>
      </w:r>
      <w:r>
        <w:rPr>
          <w:spacing w:val="2"/>
        </w:rPr>
        <w:t xml:space="preserve">as </w:t>
      </w:r>
      <w:r>
        <w:t>the court deems</w:t>
      </w:r>
      <w:r>
        <w:rPr>
          <w:spacing w:val="-4"/>
        </w:rPr>
        <w:t xml:space="preserve"> </w:t>
      </w:r>
      <w:r>
        <w:t>appropriate.</w:t>
      </w:r>
    </w:p>
    <w:p w:rsidR="002A1594" w:rsidRDefault="002A1594">
      <w:pPr>
        <w:spacing w:before="9"/>
        <w:rPr>
          <w:rFonts w:ascii="Palatino Linotype" w:eastAsia="Palatino Linotype" w:hAnsi="Palatino Linotype" w:cs="Palatino Linotype"/>
          <w:sz w:val="17"/>
          <w:szCs w:val="17"/>
        </w:rPr>
      </w:pPr>
    </w:p>
    <w:p w:rsidR="002A1594" w:rsidRDefault="00073D1D">
      <w:pPr>
        <w:pStyle w:val="BodyText"/>
        <w:spacing w:before="0" w:line="480" w:lineRule="auto"/>
        <w:ind w:right="101"/>
        <w:jc w:val="both"/>
      </w:pPr>
      <w:r>
        <w:t>42 U.S.C. § 2000e-5(g</w:t>
      </w:r>
      <w:proofErr w:type="gramStart"/>
      <w:r>
        <w:t>)(</w:t>
      </w:r>
      <w:proofErr w:type="gramEnd"/>
      <w:r>
        <w:t>1). Given that this statutory language only requires a finding that the off</w:t>
      </w:r>
      <w:r>
        <w:rPr>
          <w:rFonts w:cs="Palatino Linotype"/>
        </w:rPr>
        <w:t xml:space="preserve">ending employer has engaged in “an unlawful employment practice charged in the </w:t>
      </w:r>
      <w:r>
        <w:t>complaint</w:t>
      </w:r>
      <w:r>
        <w:rPr>
          <w:rFonts w:cs="Palatino Linotype"/>
        </w:rPr>
        <w:t>,” “[i]t is clear that the EEOC may obtain equitable relief that prote</w:t>
      </w:r>
      <w:r>
        <w:rPr>
          <w:rFonts w:cs="Palatino Linotype"/>
        </w:rPr>
        <w:t xml:space="preserve">cts a class of </w:t>
      </w:r>
      <w:r>
        <w:t xml:space="preserve">persons from unlawful employment discrimination without citing numerous instances of </w:t>
      </w:r>
      <w:r>
        <w:rPr>
          <w:rFonts w:cs="Palatino Linotype"/>
        </w:rPr>
        <w:t xml:space="preserve">such discrimination.” </w:t>
      </w:r>
      <w:proofErr w:type="gramStart"/>
      <w:r>
        <w:rPr>
          <w:rFonts w:cs="Palatino Linotype"/>
          <w:i/>
        </w:rPr>
        <w:t xml:space="preserve">EEOC </w:t>
      </w:r>
      <w:r>
        <w:rPr>
          <w:rFonts w:cs="Palatino Linotype"/>
          <w:i/>
          <w:spacing w:val="-6"/>
        </w:rPr>
        <w:t xml:space="preserve">v. </w:t>
      </w:r>
      <w:r>
        <w:rPr>
          <w:rFonts w:cs="Palatino Linotype"/>
          <w:i/>
        </w:rPr>
        <w:t>Frank’s Nursery &amp; Crafts, Inc.</w:t>
      </w:r>
      <w:r>
        <w:t xml:space="preserve">, 177 </w:t>
      </w:r>
      <w:r>
        <w:rPr>
          <w:spacing w:val="-4"/>
        </w:rPr>
        <w:t xml:space="preserve">F.3d </w:t>
      </w:r>
      <w:r>
        <w:t xml:space="preserve">448, 468 (6th </w:t>
      </w:r>
      <w:r>
        <w:rPr>
          <w:spacing w:val="-4"/>
        </w:rPr>
        <w:t xml:space="preserve">Cir. </w:t>
      </w:r>
      <w:r>
        <w:t>1999).</w:t>
      </w:r>
      <w:proofErr w:type="gramEnd"/>
      <w:r>
        <w:t xml:space="preserve"> Once a finding of intentional discrimination has been made,</w:t>
      </w:r>
      <w:r>
        <w:t xml:space="preserve"> it is generally </w:t>
      </w:r>
      <w:r>
        <w:rPr>
          <w:rFonts w:cs="Palatino Linotype"/>
        </w:rPr>
        <w:t xml:space="preserve">incumbent upon the employer to demonstrate that “the discrimination is unlikely </w:t>
      </w:r>
      <w:r>
        <w:t xml:space="preserve">to </w:t>
      </w:r>
      <w:r>
        <w:rPr>
          <w:rFonts w:cs="Palatino Linotype"/>
        </w:rPr>
        <w:t xml:space="preserve">continue.”  </w:t>
      </w:r>
      <w:proofErr w:type="gramStart"/>
      <w:r>
        <w:rPr>
          <w:rFonts w:cs="Palatino Linotype"/>
          <w:i/>
        </w:rPr>
        <w:t xml:space="preserve">EEOC </w:t>
      </w:r>
      <w:r>
        <w:rPr>
          <w:rFonts w:cs="Palatino Linotype"/>
          <w:i/>
          <w:spacing w:val="-6"/>
        </w:rPr>
        <w:t xml:space="preserve">v. </w:t>
      </w:r>
      <w:r>
        <w:rPr>
          <w:rFonts w:cs="Palatino Linotype"/>
          <w:i/>
        </w:rPr>
        <w:t>AutoZone, Inc.</w:t>
      </w:r>
      <w:r>
        <w:t xml:space="preserve">, 707 </w:t>
      </w:r>
      <w:r>
        <w:rPr>
          <w:spacing w:val="-4"/>
        </w:rPr>
        <w:t xml:space="preserve">F.3d </w:t>
      </w:r>
      <w:r>
        <w:t xml:space="preserve">824, 840 (7th </w:t>
      </w:r>
      <w:r>
        <w:rPr>
          <w:spacing w:val="-4"/>
        </w:rPr>
        <w:t>Cir.</w:t>
      </w:r>
      <w:r>
        <w:rPr>
          <w:spacing w:val="-3"/>
        </w:rPr>
        <w:t xml:space="preserve"> </w:t>
      </w:r>
      <w:r>
        <w:t>2013).</w:t>
      </w:r>
      <w:proofErr w:type="gramEnd"/>
    </w:p>
    <w:p w:rsidR="002A1594" w:rsidRDefault="00073D1D">
      <w:pPr>
        <w:pStyle w:val="BodyText"/>
        <w:spacing w:before="0" w:line="480" w:lineRule="auto"/>
        <w:ind w:right="101" w:firstLine="719"/>
        <w:jc w:val="both"/>
      </w:pPr>
      <w:r>
        <w:t xml:space="preserve">The Defendants argue that the statutory violations established in this </w:t>
      </w:r>
      <w:proofErr w:type="gramStart"/>
      <w:r>
        <w:t>case were</w:t>
      </w:r>
      <w:proofErr w:type="gramEnd"/>
      <w:r>
        <w:t xml:space="preserve"> </w:t>
      </w:r>
      <w:r>
        <w:rPr>
          <w:rFonts w:cs="Palatino Linotype"/>
        </w:rPr>
        <w:t xml:space="preserve">“merely technical” violations of the kind at issue in </w:t>
      </w:r>
      <w:r>
        <w:rPr>
          <w:rFonts w:cs="Palatino Linotype"/>
          <w:i/>
          <w:spacing w:val="-4"/>
        </w:rPr>
        <w:t>Tice</w:t>
      </w:r>
      <w:r>
        <w:rPr>
          <w:spacing w:val="-4"/>
        </w:rPr>
        <w:t xml:space="preserve">, </w:t>
      </w:r>
      <w:r>
        <w:t xml:space="preserve">and that no relief is warranted. (ECF No. 93 at 11). This assertion is unavailing. </w:t>
      </w:r>
      <w:r>
        <w:rPr>
          <w:rFonts w:cs="Palatino Linotype"/>
          <w:i/>
          <w:spacing w:val="-4"/>
        </w:rPr>
        <w:t xml:space="preserve">Tice </w:t>
      </w:r>
      <w:r>
        <w:t xml:space="preserve">involved allegations that a covered </w:t>
      </w:r>
      <w:r>
        <w:rPr>
          <w:rFonts w:cs="Palatino Linotype"/>
        </w:rPr>
        <w:t xml:space="preserve">employer had “improperly commingl[ed] the medical records of employees </w:t>
      </w:r>
      <w:r>
        <w:t>w</w:t>
      </w:r>
      <w:r>
        <w:t xml:space="preserve">ith </w:t>
      </w:r>
      <w:r>
        <w:rPr>
          <w:rFonts w:cs="Palatino Linotype"/>
        </w:rPr>
        <w:t xml:space="preserve">nonconfidential files.” </w:t>
      </w:r>
      <w:r>
        <w:rPr>
          <w:rFonts w:cs="Palatino Linotype"/>
          <w:i/>
          <w:spacing w:val="-4"/>
        </w:rPr>
        <w:t>Tice</w:t>
      </w:r>
      <w:r>
        <w:rPr>
          <w:spacing w:val="-4"/>
        </w:rPr>
        <w:t xml:space="preserve">, </w:t>
      </w:r>
      <w:proofErr w:type="gramStart"/>
      <w:r>
        <w:t xml:space="preserve">247 </w:t>
      </w:r>
      <w:r>
        <w:rPr>
          <w:spacing w:val="-5"/>
        </w:rPr>
        <w:t xml:space="preserve">F.3d </w:t>
      </w:r>
      <w:r>
        <w:t>at 519</w:t>
      </w:r>
      <w:proofErr w:type="gramEnd"/>
      <w:r>
        <w:t xml:space="preserve">. Unlike the situation in </w:t>
      </w:r>
      <w:r>
        <w:rPr>
          <w:rFonts w:cs="Palatino Linotype"/>
          <w:i/>
          <w:spacing w:val="-4"/>
        </w:rPr>
        <w:t>Tice</w:t>
      </w:r>
      <w:r>
        <w:rPr>
          <w:spacing w:val="-4"/>
        </w:rPr>
        <w:t xml:space="preserve">, </w:t>
      </w:r>
      <w:r>
        <w:t>which concerned only misplaced medical records, the instant case goes to the heart of what Congress intended to accomplish by prohibiting pre-offer medical examinations and</w:t>
      </w:r>
      <w:r>
        <w:rPr>
          <w:spacing w:val="-24"/>
        </w:rPr>
        <w:t xml:space="preserve"> </w:t>
      </w:r>
      <w:r>
        <w:t>in</w:t>
      </w:r>
      <w:r>
        <w:t>quiries.</w:t>
      </w:r>
    </w:p>
    <w:p w:rsidR="002A1594" w:rsidRDefault="00073D1D">
      <w:pPr>
        <w:pStyle w:val="BodyText"/>
        <w:spacing w:before="0" w:line="480" w:lineRule="auto"/>
        <w:ind w:right="102" w:firstLine="719"/>
        <w:jc w:val="both"/>
      </w:pPr>
      <w:r>
        <w:t>Unlike many other legal proscriptions, which recognize prohibited conduct by referen</w:t>
      </w:r>
      <w:r>
        <w:rPr>
          <w:rFonts w:cs="Palatino Linotype"/>
        </w:rPr>
        <w:t xml:space="preserve">ce to a </w:t>
      </w:r>
      <w:r>
        <w:rPr>
          <w:rFonts w:cs="Palatino Linotype"/>
          <w:spacing w:val="-3"/>
        </w:rPr>
        <w:t xml:space="preserve">defendant’s </w:t>
      </w:r>
      <w:r>
        <w:rPr>
          <w:rFonts w:cs="Palatino Linotype"/>
        </w:rPr>
        <w:t>actions, statutes prohibiting discriminatory pra</w:t>
      </w:r>
      <w:r>
        <w:t xml:space="preserve">ctices in the employment setting typically define unlawful conduct by reference to a covered </w:t>
      </w:r>
      <w:r>
        <w:rPr>
          <w:rFonts w:cs="Palatino Linotype"/>
        </w:rPr>
        <w:t>em</w:t>
      </w:r>
      <w:r>
        <w:rPr>
          <w:rFonts w:cs="Palatino Linotype"/>
        </w:rPr>
        <w:t xml:space="preserve">ployer’s “mental processes.” </w:t>
      </w:r>
      <w:proofErr w:type="gramStart"/>
      <w:r>
        <w:rPr>
          <w:rFonts w:cs="Palatino Linotype"/>
          <w:i/>
        </w:rPr>
        <w:t xml:space="preserve">United States Postal Bd. of Governors </w:t>
      </w:r>
      <w:r>
        <w:rPr>
          <w:rFonts w:cs="Palatino Linotype"/>
          <w:i/>
          <w:spacing w:val="-6"/>
        </w:rPr>
        <w:t xml:space="preserve">v. </w:t>
      </w:r>
      <w:r>
        <w:rPr>
          <w:rFonts w:cs="Palatino Linotype"/>
          <w:i/>
        </w:rPr>
        <w:t>Aikens</w:t>
      </w:r>
      <w:r>
        <w:t>, 460 U.S. 711, 716 (1983).</w:t>
      </w:r>
      <w:proofErr w:type="gramEnd"/>
      <w:r>
        <w:t xml:space="preserve">       </w:t>
      </w:r>
      <w:r>
        <w:rPr>
          <w:spacing w:val="31"/>
        </w:rPr>
        <w:t xml:space="preserve"> </w:t>
      </w:r>
      <w:r>
        <w:t>An otherwise lawful employment action becomes unlawful only when it is</w:t>
      </w:r>
    </w:p>
    <w:p w:rsidR="002A1594" w:rsidRDefault="002A1594">
      <w:pPr>
        <w:spacing w:before="2"/>
        <w:rPr>
          <w:rFonts w:ascii="Palatino Linotype" w:eastAsia="Palatino Linotype" w:hAnsi="Palatino Linotype" w:cs="Palatino Linotype"/>
          <w:sz w:val="26"/>
          <w:szCs w:val="26"/>
        </w:rPr>
      </w:pPr>
    </w:p>
    <w:p w:rsidR="002A1594" w:rsidRDefault="00073D1D">
      <w:pPr>
        <w:pStyle w:val="BodyText"/>
        <w:ind w:left="4371" w:right="4369"/>
        <w:jc w:val="center"/>
      </w:pPr>
      <w:r>
        <w:t>31</w:t>
      </w:r>
    </w:p>
    <w:p w:rsidR="002A1594" w:rsidRDefault="002A1594">
      <w:pPr>
        <w:jc w:val="center"/>
        <w:sectPr w:rsidR="002A1594">
          <w:headerReference w:type="default" r:id="rId14"/>
          <w:pgSz w:w="12240" w:h="15840"/>
          <w:pgMar w:top="540" w:right="1620" w:bottom="280" w:left="1620" w:header="306" w:footer="0" w:gutter="0"/>
          <w:pgNumType w:start="31"/>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102"/>
        <w:jc w:val="both"/>
      </w:pPr>
      <w:proofErr w:type="gramStart"/>
      <w:r>
        <w:rPr>
          <w:rFonts w:cs="Palatino Linotype"/>
        </w:rPr>
        <w:t>taken</w:t>
      </w:r>
      <w:proofErr w:type="gramEnd"/>
      <w:r>
        <w:rPr>
          <w:rFonts w:cs="Palatino Linotype"/>
        </w:rPr>
        <w:t xml:space="preserve"> “on the basis of a discriminatory criterion.” </w:t>
      </w:r>
      <w:proofErr w:type="gramStart"/>
      <w:r>
        <w:rPr>
          <w:rFonts w:cs="Palatino Linotype"/>
          <w:i/>
        </w:rPr>
        <w:t xml:space="preserve">Cooper </w:t>
      </w:r>
      <w:r>
        <w:rPr>
          <w:rFonts w:cs="Palatino Linotype"/>
          <w:i/>
          <w:spacing w:val="-8"/>
        </w:rPr>
        <w:t xml:space="preserve">v. </w:t>
      </w:r>
      <w:r>
        <w:rPr>
          <w:rFonts w:cs="Palatino Linotype"/>
          <w:i/>
        </w:rPr>
        <w:t>Fed.</w:t>
      </w:r>
      <w:proofErr w:type="gramEnd"/>
      <w:r>
        <w:rPr>
          <w:rFonts w:cs="Palatino Linotype"/>
          <w:i/>
        </w:rPr>
        <w:t xml:space="preserve"> </w:t>
      </w:r>
      <w:proofErr w:type="gramStart"/>
      <w:r>
        <w:rPr>
          <w:rFonts w:cs="Palatino Linotype"/>
          <w:i/>
        </w:rPr>
        <w:t>Reserve Bank of Richmond</w:t>
      </w:r>
      <w:r>
        <w:t>, 467 U.S. 867, 874 (1984).</w:t>
      </w:r>
      <w:proofErr w:type="gramEnd"/>
      <w:r>
        <w:t xml:space="preserve"> Because the outward </w:t>
      </w:r>
      <w:r>
        <w:rPr>
          <w:rFonts w:cs="Palatino Linotype"/>
          <w:i/>
        </w:rPr>
        <w:t xml:space="preserve">actions </w:t>
      </w:r>
      <w:r>
        <w:t>prohibited by anti-discrimination statutes are facially legal, e</w:t>
      </w:r>
      <w:r>
        <w:rPr>
          <w:rFonts w:cs="Palatino Linotype"/>
        </w:rPr>
        <w:t xml:space="preserve">mployers are sometimes able “to coat various forms of </w:t>
      </w:r>
      <w:r>
        <w:t xml:space="preserve">discrimination with the appearance of </w:t>
      </w:r>
      <w:r>
        <w:rPr>
          <w:spacing w:val="-4"/>
        </w:rPr>
        <w:t xml:space="preserve">propriety, </w:t>
      </w:r>
      <w:r>
        <w:t xml:space="preserve">or to ascribe some other less odious </w:t>
      </w:r>
      <w:r>
        <w:rPr>
          <w:rFonts w:cs="Palatino Linotype"/>
        </w:rPr>
        <w:t xml:space="preserve">intention to what is in reality discriminatory behavior.” </w:t>
      </w:r>
      <w:proofErr w:type="gramStart"/>
      <w:r>
        <w:rPr>
          <w:rFonts w:cs="Palatino Linotype"/>
          <w:i/>
        </w:rPr>
        <w:t xml:space="preserve">Aman </w:t>
      </w:r>
      <w:r>
        <w:rPr>
          <w:rFonts w:cs="Palatino Linotype"/>
          <w:i/>
          <w:spacing w:val="-6"/>
        </w:rPr>
        <w:t xml:space="preserve">v. </w:t>
      </w:r>
      <w:r>
        <w:rPr>
          <w:rFonts w:cs="Palatino Linotype"/>
          <w:i/>
        </w:rPr>
        <w:t>Cort Furniture Rental Corp.</w:t>
      </w:r>
      <w:r>
        <w:t xml:space="preserve">, 85 </w:t>
      </w:r>
      <w:r>
        <w:rPr>
          <w:spacing w:val="-4"/>
        </w:rPr>
        <w:t xml:space="preserve">F.3d </w:t>
      </w:r>
      <w:r>
        <w:t xml:space="preserve">1074, 1082 </w:t>
      </w:r>
      <w:r>
        <w:rPr>
          <w:rFonts w:cs="Palatino Linotype"/>
        </w:rPr>
        <w:t>(3</w:t>
      </w:r>
      <w:r>
        <w:rPr>
          <w:rFonts w:cs="Palatino Linotype"/>
        </w:rPr>
        <w:t xml:space="preserve">d </w:t>
      </w:r>
      <w:r>
        <w:rPr>
          <w:rFonts w:cs="Palatino Linotype"/>
          <w:spacing w:val="-4"/>
        </w:rPr>
        <w:t xml:space="preserve">Cir. </w:t>
      </w:r>
      <w:r>
        <w:rPr>
          <w:rFonts w:cs="Palatino Linotype"/>
        </w:rPr>
        <w:t>1996).</w:t>
      </w:r>
      <w:proofErr w:type="gramEnd"/>
      <w:r>
        <w:rPr>
          <w:rFonts w:cs="Palatino Linotype"/>
        </w:rPr>
        <w:t xml:space="preserve"> Victims of discrimination “often come to the legal </w:t>
      </w:r>
      <w:r>
        <w:t xml:space="preserve">process without witnesses and with little direct evidence indicating the precise nature of </w:t>
      </w:r>
      <w:r>
        <w:rPr>
          <w:rFonts w:cs="Palatino Linotype"/>
        </w:rPr>
        <w:t xml:space="preserve">the wrongs [that] they have suffered.” </w:t>
      </w:r>
      <w:proofErr w:type="gramStart"/>
      <w:r>
        <w:rPr>
          <w:rFonts w:cs="Palatino Linotype"/>
          <w:i/>
        </w:rPr>
        <w:t xml:space="preserve">Jackson </w:t>
      </w:r>
      <w:r>
        <w:rPr>
          <w:rFonts w:cs="Palatino Linotype"/>
          <w:i/>
          <w:spacing w:val="-6"/>
        </w:rPr>
        <w:t xml:space="preserve">v. </w:t>
      </w:r>
      <w:r>
        <w:rPr>
          <w:rFonts w:cs="Palatino Linotype"/>
          <w:i/>
          <w:spacing w:val="-3"/>
        </w:rPr>
        <w:t xml:space="preserve">Univ. </w:t>
      </w:r>
      <w:r>
        <w:rPr>
          <w:rFonts w:cs="Palatino Linotype"/>
          <w:i/>
        </w:rPr>
        <w:t>of Pittsburgh</w:t>
      </w:r>
      <w:r>
        <w:t xml:space="preserve">, 826 </w:t>
      </w:r>
      <w:r>
        <w:rPr>
          <w:spacing w:val="-5"/>
        </w:rPr>
        <w:t xml:space="preserve">F.2d </w:t>
      </w:r>
      <w:r>
        <w:t xml:space="preserve">230, 236 (3d </w:t>
      </w:r>
      <w:r>
        <w:rPr>
          <w:spacing w:val="-4"/>
        </w:rPr>
        <w:t xml:space="preserve">Cir. </w:t>
      </w:r>
      <w:r>
        <w:t>1987).</w:t>
      </w:r>
      <w:proofErr w:type="gramEnd"/>
      <w:r>
        <w:t xml:space="preserve"> Since an educated employer engaged in discriminatory practices will usually </w:t>
      </w:r>
      <w:r>
        <w:rPr>
          <w:rFonts w:cs="Palatino Linotype"/>
        </w:rPr>
        <w:t xml:space="preserve">know “not to leave the proverbial ‘smoking gun’ behind,” </w:t>
      </w:r>
      <w:r>
        <w:t xml:space="preserve">discriminatory conduct can sometimes go undetected and unremedied.  </w:t>
      </w:r>
      <w:r>
        <w:rPr>
          <w:rFonts w:cs="Palatino Linotype"/>
          <w:i/>
        </w:rPr>
        <w:t>Aman</w:t>
      </w:r>
      <w:r>
        <w:t xml:space="preserve">, </w:t>
      </w:r>
      <w:proofErr w:type="gramStart"/>
      <w:r>
        <w:t xml:space="preserve">85 </w:t>
      </w:r>
      <w:r>
        <w:rPr>
          <w:spacing w:val="-4"/>
        </w:rPr>
        <w:t xml:space="preserve">F.3d </w:t>
      </w:r>
      <w:r>
        <w:t>at</w:t>
      </w:r>
      <w:r>
        <w:rPr>
          <w:spacing w:val="-5"/>
        </w:rPr>
        <w:t xml:space="preserve"> </w:t>
      </w:r>
      <w:r>
        <w:t>1082</w:t>
      </w:r>
      <w:proofErr w:type="gramEnd"/>
      <w:r>
        <w:t>.</w:t>
      </w:r>
    </w:p>
    <w:p w:rsidR="002A1594" w:rsidRDefault="00073D1D">
      <w:pPr>
        <w:pStyle w:val="BodyText"/>
        <w:spacing w:before="1" w:line="480" w:lineRule="auto"/>
        <w:ind w:right="101" w:firstLine="719"/>
        <w:jc w:val="both"/>
      </w:pPr>
      <w:r>
        <w:rPr>
          <w:rFonts w:cs="Palatino Linotype"/>
        </w:rPr>
        <w:t xml:space="preserve">The </w:t>
      </w:r>
      <w:r>
        <w:rPr>
          <w:rFonts w:cs="Palatino Linotype"/>
          <w:spacing w:val="-9"/>
        </w:rPr>
        <w:t xml:space="preserve">ADA’s </w:t>
      </w:r>
      <w:r>
        <w:rPr>
          <w:rFonts w:cs="Palatino Linotype"/>
        </w:rPr>
        <w:t>prohibition aga</w:t>
      </w:r>
      <w:r>
        <w:rPr>
          <w:rFonts w:cs="Palatino Linotype"/>
        </w:rPr>
        <w:t>inst pre</w:t>
      </w:r>
      <w:r>
        <w:t xml:space="preserve">-offer medical examinations and inquiries is prophylactic in nature. Congress </w:t>
      </w:r>
      <w:r>
        <w:rPr>
          <w:spacing w:val="-3"/>
        </w:rPr>
        <w:t xml:space="preserve">was </w:t>
      </w:r>
      <w:r>
        <w:t xml:space="preserve">concerned that medical information gleaned from such examinations and inquiries could be used to exclude disabled applicants </w:t>
      </w:r>
      <w:proofErr w:type="gramStart"/>
      <w:r>
        <w:t>from  further</w:t>
      </w:r>
      <w:proofErr w:type="gramEnd"/>
      <w:r>
        <w:t xml:space="preserve"> consideration for employmen</w:t>
      </w:r>
      <w:r>
        <w:t xml:space="preserve">t. (ECF No. 140-1 at 39). In order to discriminate </w:t>
      </w:r>
      <w:r>
        <w:rPr>
          <w:rFonts w:cs="Palatino Linotype"/>
        </w:rPr>
        <w:t xml:space="preserve">against an applicant “on the basis of </w:t>
      </w:r>
      <w:r>
        <w:rPr>
          <w:rFonts w:cs="Palatino Linotype"/>
          <w:spacing w:val="-3"/>
        </w:rPr>
        <w:t xml:space="preserve">disability,” </w:t>
      </w:r>
      <w:r>
        <w:rPr>
          <w:rFonts w:cs="Palatino Linotype"/>
        </w:rPr>
        <w:t xml:space="preserve">an employer must </w:t>
      </w:r>
      <w:r>
        <w:rPr>
          <w:rFonts w:cs="Palatino Linotype"/>
          <w:i/>
        </w:rPr>
        <w:t xml:space="preserve">know </w:t>
      </w:r>
      <w:r>
        <w:t xml:space="preserve">that the applicant is disabled. </w:t>
      </w:r>
      <w:r>
        <w:rPr>
          <w:rFonts w:cs="Palatino Linotype"/>
          <w:i/>
        </w:rPr>
        <w:t>Geraci</w:t>
      </w:r>
      <w:r>
        <w:t xml:space="preserve">, </w:t>
      </w:r>
      <w:proofErr w:type="gramStart"/>
      <w:r>
        <w:t xml:space="preserve">82 </w:t>
      </w:r>
      <w:r>
        <w:rPr>
          <w:spacing w:val="-5"/>
        </w:rPr>
        <w:t xml:space="preserve">F.3d </w:t>
      </w:r>
      <w:r>
        <w:t>at 581</w:t>
      </w:r>
      <w:proofErr w:type="gramEnd"/>
      <w:r>
        <w:t>. By denying employers access to medical information until after offers of emp</w:t>
      </w:r>
      <w:r>
        <w:t xml:space="preserve">loyment are made, § 12112(d) aims to ensure that </w:t>
      </w:r>
      <w:proofErr w:type="gramStart"/>
      <w:r>
        <w:t>such  information</w:t>
      </w:r>
      <w:proofErr w:type="gramEnd"/>
      <w:r>
        <w:t xml:space="preserve"> does not infect the employee-selection process.  (ECF No. 140-1 at</w:t>
      </w:r>
      <w:r>
        <w:rPr>
          <w:spacing w:val="-22"/>
        </w:rPr>
        <w:t xml:space="preserve"> </w:t>
      </w:r>
      <w:r>
        <w:t>39).</w:t>
      </w:r>
    </w:p>
    <w:p w:rsidR="002A1594" w:rsidRDefault="00073D1D">
      <w:pPr>
        <w:pStyle w:val="BodyText"/>
        <w:spacing w:before="0" w:line="480" w:lineRule="auto"/>
        <w:ind w:right="104" w:firstLine="719"/>
        <w:jc w:val="both"/>
        <w:rPr>
          <w:rFonts w:cs="Palatino Linotype"/>
        </w:rPr>
      </w:pPr>
      <w:r>
        <w:rPr>
          <w:rFonts w:cs="Palatino Linotype"/>
        </w:rPr>
        <w:t>“Once an offer of employment has been made, a prospective employee ma</w:t>
      </w:r>
      <w:r>
        <w:t xml:space="preserve">y be </w:t>
      </w:r>
      <w:r>
        <w:rPr>
          <w:rFonts w:cs="Palatino Linotype"/>
        </w:rPr>
        <w:t>asked to undergo a medical examination, pro</w:t>
      </w:r>
      <w:r>
        <w:rPr>
          <w:rFonts w:cs="Palatino Linotype"/>
        </w:rPr>
        <w:t xml:space="preserve">vided that ‘all entering employees are </w:t>
      </w:r>
      <w:r>
        <w:t xml:space="preserve">subjected to </w:t>
      </w:r>
      <w:r>
        <w:rPr>
          <w:rFonts w:cs="Palatino Linotype"/>
        </w:rPr>
        <w:t xml:space="preserve">such an examination regardless of </w:t>
      </w:r>
      <w:r>
        <w:rPr>
          <w:rFonts w:cs="Palatino Linotype"/>
          <w:spacing w:val="-3"/>
        </w:rPr>
        <w:t xml:space="preserve">disability,’ </w:t>
      </w:r>
      <w:r>
        <w:rPr>
          <w:rFonts w:cs="Palatino Linotype"/>
        </w:rPr>
        <w:t>the confidentiality</w:t>
      </w:r>
      <w:r>
        <w:rPr>
          <w:rFonts w:cs="Palatino Linotype"/>
          <w:spacing w:val="1"/>
        </w:rPr>
        <w:t xml:space="preserve"> </w:t>
      </w:r>
      <w:r>
        <w:rPr>
          <w:rFonts w:cs="Palatino Linotype"/>
        </w:rPr>
        <w:t>requirements</w:t>
      </w:r>
    </w:p>
    <w:p w:rsidR="002A1594" w:rsidRDefault="00073D1D">
      <w:pPr>
        <w:pStyle w:val="BodyText"/>
        <w:ind w:left="4371" w:right="4369"/>
        <w:jc w:val="center"/>
      </w:pPr>
      <w:r>
        <w:t>32</w:t>
      </w:r>
    </w:p>
    <w:p w:rsidR="002A1594" w:rsidRDefault="002A1594">
      <w:pPr>
        <w:jc w:val="center"/>
        <w:sectPr w:rsidR="002A1594">
          <w:pgSz w:w="12240" w:h="15840"/>
          <w:pgMar w:top="540" w:right="162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101"/>
        <w:jc w:val="both"/>
      </w:pPr>
      <w:proofErr w:type="gramStart"/>
      <w:r>
        <w:rPr>
          <w:rFonts w:cs="Palatino Linotype"/>
        </w:rPr>
        <w:t>of</w:t>
      </w:r>
      <w:proofErr w:type="gramEnd"/>
      <w:r>
        <w:rPr>
          <w:rFonts w:cs="Palatino Linotype"/>
        </w:rPr>
        <w:t xml:space="preserve"> § 12112(d)(3)(B) are adhered to, and the results of the examination are ‘</w:t>
      </w:r>
      <w:r>
        <w:t xml:space="preserve">used only in </w:t>
      </w:r>
      <w:r>
        <w:rPr>
          <w:rFonts w:cs="Palatino Linotype"/>
        </w:rPr>
        <w:t>accordance with</w:t>
      </w:r>
      <w:r>
        <w:rPr>
          <w:rFonts w:cs="Palatino Linotype"/>
        </w:rPr>
        <w:t xml:space="preserve">’ Title I.” </w:t>
      </w:r>
      <w:r>
        <w:rPr>
          <w:rFonts w:cs="Palatino Linotype"/>
          <w:i/>
        </w:rPr>
        <w:t xml:space="preserve">Chedwick </w:t>
      </w:r>
      <w:r>
        <w:rPr>
          <w:rFonts w:cs="Palatino Linotype"/>
          <w:i/>
          <w:spacing w:val="-6"/>
        </w:rPr>
        <w:t xml:space="preserve">v. </w:t>
      </w:r>
      <w:r>
        <w:rPr>
          <w:rFonts w:cs="Palatino Linotype"/>
          <w:i/>
          <w:spacing w:val="-3"/>
        </w:rPr>
        <w:t xml:space="preserve">Univ. </w:t>
      </w:r>
      <w:r>
        <w:rPr>
          <w:rFonts w:cs="Palatino Linotype"/>
          <w:i/>
        </w:rPr>
        <w:t xml:space="preserve">of Pittsburgh Med. </w:t>
      </w:r>
      <w:r>
        <w:rPr>
          <w:rFonts w:cs="Palatino Linotype"/>
          <w:i/>
          <w:spacing w:val="-5"/>
        </w:rPr>
        <w:t>Ctr.</w:t>
      </w:r>
      <w:r>
        <w:rPr>
          <w:spacing w:val="-5"/>
        </w:rPr>
        <w:t xml:space="preserve">, </w:t>
      </w:r>
      <w:r>
        <w:t>Civil Action No. 07-806, 2011</w:t>
      </w:r>
      <w:r>
        <w:rPr>
          <w:spacing w:val="21"/>
        </w:rPr>
        <w:t xml:space="preserve"> </w:t>
      </w:r>
      <w:r>
        <w:t>WL</w:t>
      </w:r>
      <w:r>
        <w:rPr>
          <w:spacing w:val="13"/>
        </w:rPr>
        <w:t xml:space="preserve"> </w:t>
      </w:r>
      <w:r>
        <w:t>1559792,</w:t>
      </w:r>
      <w:r>
        <w:rPr>
          <w:spacing w:val="21"/>
        </w:rPr>
        <w:t xml:space="preserve"> </w:t>
      </w:r>
      <w:r>
        <w:t>at</w:t>
      </w:r>
      <w:r>
        <w:rPr>
          <w:spacing w:val="21"/>
        </w:rPr>
        <w:t xml:space="preserve"> </w:t>
      </w:r>
      <w:r>
        <w:t>*11,</w:t>
      </w:r>
      <w:r>
        <w:rPr>
          <w:spacing w:val="21"/>
        </w:rPr>
        <w:t xml:space="preserve"> </w:t>
      </w:r>
      <w:r>
        <w:t>2011</w:t>
      </w:r>
      <w:r>
        <w:rPr>
          <w:spacing w:val="21"/>
        </w:rPr>
        <w:t xml:space="preserve"> </w:t>
      </w:r>
      <w:r>
        <w:t>U.S.</w:t>
      </w:r>
      <w:r>
        <w:rPr>
          <w:spacing w:val="21"/>
        </w:rPr>
        <w:t xml:space="preserve"> </w:t>
      </w:r>
      <w:r>
        <w:t>Dist.</w:t>
      </w:r>
      <w:r>
        <w:rPr>
          <w:spacing w:val="21"/>
        </w:rPr>
        <w:t xml:space="preserve"> </w:t>
      </w:r>
      <w:r>
        <w:t>LEXIS</w:t>
      </w:r>
      <w:r>
        <w:rPr>
          <w:spacing w:val="20"/>
        </w:rPr>
        <w:t xml:space="preserve"> </w:t>
      </w:r>
      <w:r>
        <w:t>43239,</w:t>
      </w:r>
      <w:r>
        <w:rPr>
          <w:spacing w:val="21"/>
        </w:rPr>
        <w:t xml:space="preserve"> </w:t>
      </w:r>
      <w:r>
        <w:t>at</w:t>
      </w:r>
      <w:r>
        <w:rPr>
          <w:spacing w:val="21"/>
        </w:rPr>
        <w:t xml:space="preserve"> </w:t>
      </w:r>
      <w:r>
        <w:t>*33-34</w:t>
      </w:r>
      <w:r>
        <w:rPr>
          <w:spacing w:val="21"/>
        </w:rPr>
        <w:t xml:space="preserve"> </w:t>
      </w:r>
      <w:r>
        <w:rPr>
          <w:spacing w:val="-5"/>
        </w:rPr>
        <w:t>(W.D.</w:t>
      </w:r>
      <w:r>
        <w:rPr>
          <w:spacing w:val="21"/>
        </w:rPr>
        <w:t xml:space="preserve"> </w:t>
      </w:r>
      <w:r>
        <w:rPr>
          <w:spacing w:val="-3"/>
        </w:rPr>
        <w:t>Pa.</w:t>
      </w:r>
      <w:r>
        <w:rPr>
          <w:spacing w:val="11"/>
        </w:rPr>
        <w:t xml:space="preserve"> </w:t>
      </w:r>
      <w:r>
        <w:rPr>
          <w:spacing w:val="-4"/>
        </w:rPr>
        <w:t>Apr.</w:t>
      </w:r>
      <w:r>
        <w:rPr>
          <w:spacing w:val="21"/>
        </w:rPr>
        <w:t xml:space="preserve"> </w:t>
      </w:r>
      <w:r>
        <w:t>21,</w:t>
      </w:r>
      <w:r>
        <w:rPr>
          <w:spacing w:val="21"/>
        </w:rPr>
        <w:t xml:space="preserve"> </w:t>
      </w:r>
      <w:r>
        <w:t>2011).</w:t>
      </w:r>
    </w:p>
    <w:p w:rsidR="002A1594" w:rsidRDefault="00073D1D">
      <w:pPr>
        <w:pStyle w:val="BodyText"/>
        <w:spacing w:before="0" w:line="480" w:lineRule="auto"/>
        <w:ind w:right="102"/>
        <w:jc w:val="both"/>
      </w:pPr>
      <w:r>
        <w:t xml:space="preserve">With the caveat that the information obtained from the examination (and accompanying inquiries) cannot be used to </w:t>
      </w:r>
      <w:r>
        <w:rPr>
          <w:rFonts w:cs="Palatino Linotype"/>
        </w:rPr>
        <w:t xml:space="preserve">unlawfully discriminate against a “disabled” individual in violation of § 12112(a), the employer “may condition </w:t>
      </w:r>
      <w:r>
        <w:t>[its] offer of employment on t</w:t>
      </w:r>
      <w:r>
        <w:t xml:space="preserve">he </w:t>
      </w:r>
      <w:r>
        <w:rPr>
          <w:rFonts w:cs="Palatino Linotype"/>
        </w:rPr>
        <w:t>results of [that] examination.” 42 U.S.C. § 12112(d</w:t>
      </w:r>
      <w:proofErr w:type="gramStart"/>
      <w:r>
        <w:rPr>
          <w:rFonts w:cs="Palatino Linotype"/>
        </w:rPr>
        <w:t>)</w:t>
      </w:r>
      <w:r>
        <w:t>(</w:t>
      </w:r>
      <w:proofErr w:type="gramEnd"/>
      <w:r>
        <w:t xml:space="preserve">3). If the offer of employment is withdrawn because of medical information discovered through the use of a post-offer examination or </w:t>
      </w:r>
      <w:r>
        <w:rPr>
          <w:spacing w:val="-4"/>
        </w:rPr>
        <w:t xml:space="preserve">inquiry, </w:t>
      </w:r>
      <w:r>
        <w:t>the rejected individual remains free to pursue an ADA clai</w:t>
      </w:r>
      <w:r>
        <w:t xml:space="preserve">m premised on the theory that the offer was withdrawn </w:t>
      </w:r>
      <w:r>
        <w:rPr>
          <w:rFonts w:cs="Palatino Linotype"/>
        </w:rPr>
        <w:t xml:space="preserve">“for reasons not in accordance with” </w:t>
      </w:r>
      <w:r>
        <w:t xml:space="preserve">Title I. </w:t>
      </w:r>
      <w:r>
        <w:rPr>
          <w:rFonts w:cs="Palatino Linotype"/>
          <w:i/>
        </w:rPr>
        <w:t xml:space="preserve">Garrison </w:t>
      </w:r>
      <w:r>
        <w:rPr>
          <w:rFonts w:cs="Palatino Linotype"/>
          <w:i/>
          <w:spacing w:val="-6"/>
        </w:rPr>
        <w:t xml:space="preserve">v. </w:t>
      </w:r>
      <w:r>
        <w:rPr>
          <w:rFonts w:cs="Palatino Linotype"/>
          <w:i/>
        </w:rPr>
        <w:t>Baker Hughes Oilfield Operations, Inc.</w:t>
      </w:r>
      <w:r>
        <w:t xml:space="preserve">, 287 </w:t>
      </w:r>
      <w:r>
        <w:rPr>
          <w:spacing w:val="-4"/>
        </w:rPr>
        <w:t xml:space="preserve">F.3d </w:t>
      </w:r>
      <w:r>
        <w:t xml:space="preserve">955, 963 n.7 (10th </w:t>
      </w:r>
      <w:r>
        <w:rPr>
          <w:spacing w:val="-4"/>
        </w:rPr>
        <w:t xml:space="preserve">Cir. </w:t>
      </w:r>
      <w:r>
        <w:t>2002</w:t>
      </w:r>
      <w:r>
        <w:rPr>
          <w:rFonts w:cs="Palatino Linotype"/>
        </w:rPr>
        <w:t>). In that scenario, the factual issue typically centers on whether</w:t>
      </w:r>
      <w:r>
        <w:rPr>
          <w:rFonts w:cs="Palatino Linotype"/>
        </w:rPr>
        <w:t xml:space="preserve"> the “disability” </w:t>
      </w:r>
      <w:r>
        <w:t>detected by post-offer testing ren</w:t>
      </w:r>
      <w:r>
        <w:rPr>
          <w:rFonts w:cs="Palatino Linotype"/>
        </w:rPr>
        <w:t xml:space="preserve">ders the individual unable to perform the “essential functions” of </w:t>
      </w:r>
      <w:proofErr w:type="gramStart"/>
      <w:r>
        <w:rPr>
          <w:rFonts w:cs="Palatino Linotype"/>
        </w:rPr>
        <w:t>the  desired</w:t>
      </w:r>
      <w:proofErr w:type="gramEnd"/>
      <w:r>
        <w:rPr>
          <w:rFonts w:cs="Palatino Linotype"/>
        </w:rPr>
        <w:t xml:space="preserve"> position, “with or  without  </w:t>
      </w:r>
      <w:r>
        <w:t>reasonable  accommodation[s]</w:t>
      </w:r>
      <w:r>
        <w:rPr>
          <w:rFonts w:cs="Palatino Linotype"/>
        </w:rPr>
        <w:t xml:space="preserve">.”  </w:t>
      </w:r>
      <w:r>
        <w:rPr>
          <w:rFonts w:cs="Palatino Linotype"/>
          <w:spacing w:val="26"/>
        </w:rPr>
        <w:t xml:space="preserve"> </w:t>
      </w:r>
      <w:r>
        <w:t>42</w:t>
      </w:r>
    </w:p>
    <w:p w:rsidR="002A1594" w:rsidRDefault="00073D1D">
      <w:pPr>
        <w:pStyle w:val="BodyText"/>
        <w:spacing w:before="1" w:line="480" w:lineRule="auto"/>
        <w:ind w:right="102"/>
        <w:jc w:val="both"/>
      </w:pPr>
      <w:r>
        <w:t>U.S.C. §§ 12111(8), 12112(b</w:t>
      </w:r>
      <w:proofErr w:type="gramStart"/>
      <w:r>
        <w:t>)(</w:t>
      </w:r>
      <w:proofErr w:type="gramEnd"/>
      <w:r>
        <w:t>5). The rejected applicant does not normally have to contend with assertions that he o</w:t>
      </w:r>
      <w:r>
        <w:rPr>
          <w:rFonts w:cs="Palatino Linotype"/>
        </w:rPr>
        <w:t xml:space="preserve">r she was rejected for “legitimate, nondiscriminatory reasons” </w:t>
      </w:r>
      <w:r>
        <w:t xml:space="preserve">other than his or her medical condition, since </w:t>
      </w:r>
      <w:r>
        <w:rPr>
          <w:rFonts w:cs="Palatino Linotype"/>
        </w:rPr>
        <w:t xml:space="preserve">the employer’s </w:t>
      </w:r>
      <w:r>
        <w:t>initial decision</w:t>
      </w:r>
      <w:r>
        <w:t xml:space="preserve"> to extend an offer of employment will have preceded the discovery of the </w:t>
      </w:r>
      <w:proofErr w:type="gramStart"/>
      <w:r>
        <w:t>relevant  medical</w:t>
      </w:r>
      <w:proofErr w:type="gramEnd"/>
      <w:r>
        <w:t xml:space="preserve"> information. In this </w:t>
      </w:r>
      <w:r>
        <w:rPr>
          <w:spacing w:val="-8"/>
        </w:rPr>
        <w:t xml:space="preserve">way, </w:t>
      </w:r>
      <w:r>
        <w:t xml:space="preserve">§ 12112(d) deters covert discrimination against disabled applicants by forcing employers to make hiring decisions </w:t>
      </w:r>
      <w:r>
        <w:rPr>
          <w:rFonts w:cs="Palatino Linotype"/>
          <w:i/>
        </w:rPr>
        <w:t xml:space="preserve">before </w:t>
      </w:r>
      <w:r>
        <w:t>procuring the inf</w:t>
      </w:r>
      <w:r>
        <w:t xml:space="preserve">ormation upon which discriminatory decisions could be based.   </w:t>
      </w:r>
      <w:r>
        <w:rPr>
          <w:rFonts w:cs="Palatino Linotype"/>
          <w:i/>
        </w:rPr>
        <w:t>Griffin</w:t>
      </w:r>
      <w:r>
        <w:t xml:space="preserve">, 160 </w:t>
      </w:r>
      <w:r>
        <w:rPr>
          <w:spacing w:val="-4"/>
        </w:rPr>
        <w:t xml:space="preserve">F.3d </w:t>
      </w:r>
      <w:r>
        <w:t xml:space="preserve">at 594  </w:t>
      </w:r>
      <w:r>
        <w:rPr>
          <w:spacing w:val="31"/>
        </w:rPr>
        <w:t xml:space="preserve"> </w:t>
      </w:r>
      <w:r>
        <w:t>(remarking</w:t>
      </w:r>
    </w:p>
    <w:p w:rsidR="002A1594" w:rsidRDefault="002A1594">
      <w:pPr>
        <w:rPr>
          <w:rFonts w:ascii="Palatino Linotype" w:eastAsia="Palatino Linotype" w:hAnsi="Palatino Linotype" w:cs="Palatino Linotype"/>
          <w:sz w:val="20"/>
          <w:szCs w:val="20"/>
        </w:rPr>
      </w:pPr>
    </w:p>
    <w:p w:rsidR="002A1594" w:rsidRDefault="002A1594">
      <w:pPr>
        <w:spacing w:before="12"/>
        <w:rPr>
          <w:rFonts w:ascii="Palatino Linotype" w:eastAsia="Palatino Linotype" w:hAnsi="Palatino Linotype" w:cs="Palatino Linotype"/>
          <w:sz w:val="23"/>
          <w:szCs w:val="23"/>
        </w:rPr>
      </w:pPr>
    </w:p>
    <w:p w:rsidR="002A1594" w:rsidRDefault="00073D1D">
      <w:pPr>
        <w:pStyle w:val="BodyText"/>
        <w:ind w:left="4371" w:right="4369"/>
        <w:jc w:val="center"/>
      </w:pPr>
      <w:r>
        <w:t>33</w:t>
      </w:r>
    </w:p>
    <w:p w:rsidR="002A1594" w:rsidRDefault="002A1594">
      <w:pPr>
        <w:jc w:val="center"/>
        <w:sectPr w:rsidR="002A1594">
          <w:pgSz w:w="12240" w:h="15840"/>
          <w:pgMar w:top="540" w:right="162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64"/>
        <w:rPr>
          <w:rFonts w:cs="Palatino Linotype"/>
        </w:rPr>
      </w:pPr>
      <w:proofErr w:type="gramStart"/>
      <w:r>
        <w:rPr>
          <w:rFonts w:cs="Palatino Linotype"/>
        </w:rPr>
        <w:t>that</w:t>
      </w:r>
      <w:proofErr w:type="gramEnd"/>
      <w:r>
        <w:rPr>
          <w:rFonts w:cs="Palatino Linotype"/>
        </w:rPr>
        <w:t xml:space="preserve"> “Congress wi</w:t>
      </w:r>
      <w:r>
        <w:t xml:space="preserve">shed to curtail all questioning that would serve to identify and exclude </w:t>
      </w:r>
      <w:r>
        <w:rPr>
          <w:rFonts w:cs="Palatino Linotype"/>
        </w:rPr>
        <w:t>persons with disabilities from consideration for</w:t>
      </w:r>
      <w:r>
        <w:rPr>
          <w:rFonts w:cs="Palatino Linotype"/>
          <w:spacing w:val="-13"/>
        </w:rPr>
        <w:t xml:space="preserve"> </w:t>
      </w:r>
      <w:r>
        <w:rPr>
          <w:rFonts w:cs="Palatino Linotype"/>
        </w:rPr>
        <w:t>employment”).</w:t>
      </w:r>
    </w:p>
    <w:p w:rsidR="002A1594" w:rsidRDefault="00073D1D">
      <w:pPr>
        <w:pStyle w:val="BodyText"/>
        <w:spacing w:before="1" w:line="480" w:lineRule="auto"/>
        <w:ind w:right="101" w:firstLine="719"/>
        <w:jc w:val="both"/>
        <w:rPr>
          <w:rFonts w:cs="Palatino Linotype"/>
        </w:rPr>
      </w:pPr>
      <w:r>
        <w:t xml:space="preserve">This case does not </w:t>
      </w:r>
      <w:r>
        <w:rPr>
          <w:spacing w:val="-3"/>
        </w:rPr>
        <w:t xml:space="preserve">involve </w:t>
      </w:r>
      <w:r>
        <w:t xml:space="preserve">misplaced medical files or fleeting questions technically constituting medical inquiries. </w:t>
      </w:r>
      <w:r>
        <w:rPr>
          <w:rFonts w:cs="Palatino Linotype"/>
          <w:i/>
          <w:spacing w:val="-4"/>
        </w:rPr>
        <w:t>Tice</w:t>
      </w:r>
      <w:r>
        <w:rPr>
          <w:spacing w:val="-4"/>
        </w:rPr>
        <w:t xml:space="preserve">, </w:t>
      </w:r>
      <w:proofErr w:type="gramStart"/>
      <w:r>
        <w:t xml:space="preserve">247 </w:t>
      </w:r>
      <w:r>
        <w:rPr>
          <w:spacing w:val="-4"/>
        </w:rPr>
        <w:t xml:space="preserve">F.3d </w:t>
      </w:r>
      <w:r>
        <w:t>at 519-20</w:t>
      </w:r>
      <w:proofErr w:type="gramEnd"/>
      <w:r>
        <w:t>. The existing record demonstrates that the LCNRC em</w:t>
      </w:r>
      <w:r>
        <w:t xml:space="preserve">ployees seeking employment with the CCC were subjected to a formalized process consisting of unlawful pre-offer medical examinations and illicit solicitations of detailed medical information. The individuals </w:t>
      </w:r>
      <w:proofErr w:type="gramStart"/>
      <w:r>
        <w:t>who  were</w:t>
      </w:r>
      <w:proofErr w:type="gramEnd"/>
      <w:r>
        <w:t xml:space="preserve">  subjected  to these illegal examinati</w:t>
      </w:r>
      <w:r>
        <w:t xml:space="preserve">ons and inquiries, including those who were ultimately rejected, were deprived of the prophylactic protection from discrimination that § 12112(d) was designed to create. Congress </w:t>
      </w:r>
      <w:r>
        <w:rPr>
          <w:rFonts w:cs="Palatino Linotype"/>
        </w:rPr>
        <w:t>sought “to provide clear, strong, consistent, enforceable standards addressin</w:t>
      </w:r>
      <w:r>
        <w:rPr>
          <w:rFonts w:cs="Palatino Linotype"/>
        </w:rPr>
        <w:t xml:space="preserve">g discrimination against individuals with disabilities.” 42 U.S.C. § </w:t>
      </w:r>
      <w:r>
        <w:t>12101(b</w:t>
      </w:r>
      <w:proofErr w:type="gramStart"/>
      <w:r>
        <w:t>)(</w:t>
      </w:r>
      <w:proofErr w:type="gramEnd"/>
      <w:r>
        <w:t xml:space="preserve">2). Covered employers cannot erode those standards by procuring detailed medical information about applicants for employment and contending, at the end of the </w:t>
      </w:r>
      <w:r>
        <w:rPr>
          <w:spacing w:val="-7"/>
        </w:rPr>
        <w:t xml:space="preserve">day, </w:t>
      </w:r>
      <w:r>
        <w:t>that such info</w:t>
      </w:r>
      <w:r>
        <w:t xml:space="preserve">rmation has never been used to the detriment of those applicants. If it were otherwise, disabled individuals would be vulnerable to several forms of discrimination that the ADA was designed to prevent. Since most employment decisions </w:t>
      </w:r>
      <w:r>
        <w:rPr>
          <w:rFonts w:cs="Palatino Linotype"/>
        </w:rPr>
        <w:t>involve elements of di</w:t>
      </w:r>
      <w:r>
        <w:rPr>
          <w:rFonts w:cs="Palatino Linotype"/>
        </w:rPr>
        <w:t xml:space="preserve">scretion, it is relatively easy for an employer to “concoct a plausible reason for not hiring” a particular individual. </w:t>
      </w:r>
      <w:proofErr w:type="gramStart"/>
      <w:r>
        <w:rPr>
          <w:rFonts w:cs="Palatino Linotype"/>
          <w:i/>
        </w:rPr>
        <w:t xml:space="preserve">Riordan </w:t>
      </w:r>
      <w:r>
        <w:rPr>
          <w:rFonts w:cs="Palatino Linotype"/>
          <w:i/>
          <w:spacing w:val="-6"/>
        </w:rPr>
        <w:t xml:space="preserve">v. </w:t>
      </w:r>
      <w:r>
        <w:rPr>
          <w:rFonts w:cs="Palatino Linotype"/>
          <w:i/>
        </w:rPr>
        <w:t>Kempiners</w:t>
      </w:r>
      <w:r>
        <w:t xml:space="preserve">, 831 </w:t>
      </w:r>
      <w:r>
        <w:rPr>
          <w:spacing w:val="-5"/>
        </w:rPr>
        <w:t xml:space="preserve">F.2d </w:t>
      </w:r>
      <w:r>
        <w:t xml:space="preserve">690, 698 (7th </w:t>
      </w:r>
      <w:r>
        <w:rPr>
          <w:spacing w:val="-4"/>
        </w:rPr>
        <w:t xml:space="preserve">Cir. </w:t>
      </w:r>
      <w:r>
        <w:t>1987</w:t>
      </w:r>
      <w:r>
        <w:rPr>
          <w:rFonts w:cs="Palatino Linotype"/>
        </w:rPr>
        <w:t>).</w:t>
      </w:r>
      <w:proofErr w:type="gramEnd"/>
      <w:r>
        <w:rPr>
          <w:rFonts w:cs="Palatino Linotype"/>
        </w:rPr>
        <w:t xml:space="preserve"> A decision declaring the admitted § 12112(d) violations to </w:t>
      </w:r>
      <w:proofErr w:type="gramStart"/>
      <w:r>
        <w:rPr>
          <w:rFonts w:cs="Palatino Linotype"/>
        </w:rPr>
        <w:t>be  “</w:t>
      </w:r>
      <w:proofErr w:type="gramEnd"/>
      <w:r>
        <w:rPr>
          <w:rFonts w:cs="Palatino Linotype"/>
        </w:rPr>
        <w:t xml:space="preserve">harmless” would seriously undermine the </w:t>
      </w:r>
      <w:r>
        <w:rPr>
          <w:rFonts w:cs="Palatino Linotype"/>
          <w:spacing w:val="-9"/>
        </w:rPr>
        <w:t xml:space="preserve">ADA’s </w:t>
      </w:r>
      <w:r>
        <w:rPr>
          <w:rFonts w:cs="Palatino Linotype"/>
        </w:rPr>
        <w:t>policy of prophylactic</w:t>
      </w:r>
      <w:r>
        <w:rPr>
          <w:rFonts w:cs="Palatino Linotype"/>
          <w:spacing w:val="-11"/>
        </w:rPr>
        <w:t xml:space="preserve"> </w:t>
      </w:r>
      <w:r>
        <w:rPr>
          <w:rFonts w:cs="Palatino Linotype"/>
        </w:rPr>
        <w:t>deterrence.</w:t>
      </w:r>
    </w:p>
    <w:p w:rsidR="002A1594" w:rsidRDefault="00073D1D">
      <w:pPr>
        <w:pStyle w:val="BodyText"/>
        <w:spacing w:before="1" w:line="480" w:lineRule="auto"/>
        <w:ind w:right="105" w:firstLine="719"/>
        <w:jc w:val="both"/>
      </w:pPr>
      <w:r>
        <w:t>The testimonial record indicates that pre-offer medical examinations were performed on the LCNRC employees s</w:t>
      </w:r>
      <w:r>
        <w:t>eeking jobs with the CCC because several</w:t>
      </w:r>
      <w:r>
        <w:rPr>
          <w:spacing w:val="-3"/>
        </w:rPr>
        <w:t xml:space="preserve"> </w:t>
      </w:r>
      <w:r>
        <w:t>positions</w:t>
      </w:r>
    </w:p>
    <w:p w:rsidR="002A1594" w:rsidRDefault="00073D1D">
      <w:pPr>
        <w:pStyle w:val="BodyText"/>
        <w:ind w:left="4371" w:right="4369"/>
        <w:jc w:val="center"/>
      </w:pPr>
      <w:r>
        <w:t>34</w:t>
      </w:r>
    </w:p>
    <w:p w:rsidR="002A1594" w:rsidRDefault="002A1594">
      <w:pPr>
        <w:jc w:val="center"/>
        <w:sectPr w:rsidR="002A1594">
          <w:pgSz w:w="12240" w:h="15840"/>
          <w:pgMar w:top="540" w:right="162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102"/>
        <w:jc w:val="both"/>
      </w:pPr>
      <w:proofErr w:type="gramStart"/>
      <w:r>
        <w:t>needed</w:t>
      </w:r>
      <w:proofErr w:type="gramEnd"/>
      <w:r>
        <w:t xml:space="preserve"> to be filled in a short period. (ECF No. 99-2 at 2 ¶¶ 9-11; ECF No. 99-3 at 3-4).  </w:t>
      </w:r>
      <w:proofErr w:type="gramStart"/>
      <w:r>
        <w:t>If  no</w:t>
      </w:r>
      <w:proofErr w:type="gramEnd"/>
      <w:r>
        <w:t xml:space="preserve"> relief is provided in this case, the Defendants may persist in the belief that they are </w:t>
      </w:r>
      <w:r>
        <w:t>free to ignore th</w:t>
      </w:r>
      <w:r>
        <w:rPr>
          <w:rFonts w:cs="Palatino Linotype"/>
        </w:rPr>
        <w:t xml:space="preserve">e </w:t>
      </w:r>
      <w:r>
        <w:rPr>
          <w:rFonts w:cs="Palatino Linotype"/>
          <w:spacing w:val="-9"/>
        </w:rPr>
        <w:t xml:space="preserve">ADA’s </w:t>
      </w:r>
      <w:r>
        <w:rPr>
          <w:rFonts w:cs="Palatino Linotype"/>
        </w:rPr>
        <w:t xml:space="preserve">prophylactic protections in the name of expedience, as long as they  </w:t>
      </w:r>
      <w:r>
        <w:t xml:space="preserve">do not base their personnel decisions on impermissible factors. The mandate of Congress </w:t>
      </w:r>
      <w:r>
        <w:rPr>
          <w:rFonts w:cs="Palatino Linotype"/>
        </w:rPr>
        <w:t xml:space="preserve">cannot be cast aside without consequence. The </w:t>
      </w:r>
      <w:r>
        <w:rPr>
          <w:rFonts w:cs="Palatino Linotype"/>
          <w:spacing w:val="-5"/>
        </w:rPr>
        <w:t xml:space="preserve">EEOC’s </w:t>
      </w:r>
      <w:r>
        <w:rPr>
          <w:rFonts w:cs="Palatino Linotype"/>
        </w:rPr>
        <w:t>motion for partial su</w:t>
      </w:r>
      <w:r>
        <w:rPr>
          <w:rFonts w:cs="Palatino Linotype"/>
        </w:rPr>
        <w:t xml:space="preserve">mmary </w:t>
      </w:r>
      <w:r>
        <w:t xml:space="preserve">judgment will be granted to the extent that it seeks an order enjoining Grane from </w:t>
      </w:r>
      <w:r>
        <w:rPr>
          <w:rFonts w:cs="Palatino Linotype"/>
        </w:rPr>
        <w:t xml:space="preserve">violating § </w:t>
      </w:r>
      <w:r>
        <w:rPr>
          <w:rFonts w:cs="Palatino Linotype"/>
          <w:spacing w:val="-3"/>
        </w:rPr>
        <w:t xml:space="preserve">12112(d)’s </w:t>
      </w:r>
      <w:r>
        <w:rPr>
          <w:rFonts w:cs="Palatino Linotype"/>
        </w:rPr>
        <w:t>prohibitions against pre</w:t>
      </w:r>
      <w:r>
        <w:t xml:space="preserve">-offer medical examinations and inquiries. (ECF No. 95-1 at 9). The requested relief will be denied with respect to the </w:t>
      </w:r>
      <w:r>
        <w:t xml:space="preserve">CCC, since its coverage under Title I </w:t>
      </w:r>
      <w:proofErr w:type="gramStart"/>
      <w:r>
        <w:t>remains</w:t>
      </w:r>
      <w:proofErr w:type="gramEnd"/>
      <w:r>
        <w:t xml:space="preserve"> in</w:t>
      </w:r>
      <w:r>
        <w:rPr>
          <w:spacing w:val="-11"/>
        </w:rPr>
        <w:t xml:space="preserve"> </w:t>
      </w:r>
      <w:r>
        <w:t>dispute.</w:t>
      </w:r>
    </w:p>
    <w:p w:rsidR="002A1594" w:rsidRDefault="002A1594">
      <w:pPr>
        <w:spacing w:before="10"/>
        <w:rPr>
          <w:rFonts w:ascii="Palatino Linotype" w:eastAsia="Palatino Linotype" w:hAnsi="Palatino Linotype" w:cs="Palatino Linotype"/>
          <w:sz w:val="17"/>
          <w:szCs w:val="17"/>
        </w:rPr>
      </w:pPr>
    </w:p>
    <w:p w:rsidR="002A1594" w:rsidRDefault="00073D1D">
      <w:pPr>
        <w:pStyle w:val="Heading3"/>
        <w:numPr>
          <w:ilvl w:val="1"/>
          <w:numId w:val="1"/>
        </w:numPr>
        <w:tabs>
          <w:tab w:val="left" w:pos="1549"/>
        </w:tabs>
        <w:jc w:val="left"/>
        <w:rPr>
          <w:b w:val="0"/>
          <w:bCs w:val="0"/>
        </w:rPr>
      </w:pPr>
      <w:r>
        <w:t>The Availability of Money</w:t>
      </w:r>
      <w:r>
        <w:rPr>
          <w:spacing w:val="-19"/>
        </w:rPr>
        <w:t xml:space="preserve"> </w:t>
      </w:r>
      <w:r>
        <w:t>Damages</w:t>
      </w:r>
    </w:p>
    <w:p w:rsidR="002A1594" w:rsidRDefault="002A1594">
      <w:pPr>
        <w:spacing w:before="13"/>
        <w:rPr>
          <w:rFonts w:ascii="Palatino Linotype" w:eastAsia="Palatino Linotype" w:hAnsi="Palatino Linotype" w:cs="Palatino Linotype"/>
          <w:b/>
          <w:bCs/>
          <w:sz w:val="21"/>
          <w:szCs w:val="21"/>
        </w:rPr>
      </w:pPr>
    </w:p>
    <w:p w:rsidR="002A1594" w:rsidRDefault="00073D1D">
      <w:pPr>
        <w:pStyle w:val="BodyText"/>
        <w:spacing w:before="0" w:line="480" w:lineRule="auto"/>
        <w:ind w:right="101" w:firstLine="719"/>
        <w:jc w:val="both"/>
      </w:pPr>
      <w:r>
        <w:t xml:space="preserve">In </w:t>
      </w:r>
      <w:r>
        <w:rPr>
          <w:rFonts w:cs="Palatino Linotype"/>
          <w:i/>
        </w:rPr>
        <w:t xml:space="preserve">General </w:t>
      </w:r>
      <w:r>
        <w:rPr>
          <w:rFonts w:cs="Palatino Linotype"/>
          <w:i/>
          <w:spacing w:val="-4"/>
        </w:rPr>
        <w:t xml:space="preserve">Telephone </w:t>
      </w:r>
      <w:r>
        <w:rPr>
          <w:rFonts w:cs="Palatino Linotype"/>
          <w:i/>
        </w:rPr>
        <w:t xml:space="preserve">Co. of the Northwest, Inc. </w:t>
      </w:r>
      <w:r>
        <w:rPr>
          <w:rFonts w:cs="Palatino Linotype"/>
          <w:i/>
          <w:spacing w:val="-6"/>
        </w:rPr>
        <w:t xml:space="preserve">v. </w:t>
      </w:r>
      <w:r>
        <w:rPr>
          <w:rFonts w:cs="Palatino Linotype"/>
          <w:i/>
        </w:rPr>
        <w:t>EEOC</w:t>
      </w:r>
      <w:r>
        <w:t xml:space="preserve">, 446 U.S. 318, 333-34 (1980), </w:t>
      </w:r>
      <w:r>
        <w:rPr>
          <w:rFonts w:cs="Palatino Linotype"/>
        </w:rPr>
        <w:t>the Supreme Court held that the EEOC “may seek specific relief for a group of aggriev</w:t>
      </w:r>
      <w:r>
        <w:t>ed individuals without first obtaining class certification pursuant to Federal Rule of Civil Procedure 23.</w:t>
      </w:r>
      <w:r>
        <w:rPr>
          <w:rFonts w:cs="Palatino Linotype"/>
        </w:rPr>
        <w:t xml:space="preserve">” Therefore, the EEOC need not satisfy Rule </w:t>
      </w:r>
      <w:r>
        <w:rPr>
          <w:rFonts w:cs="Palatino Linotype"/>
          <w:spacing w:val="-7"/>
        </w:rPr>
        <w:t xml:space="preserve">23’s </w:t>
      </w:r>
      <w:r>
        <w:rPr>
          <w:rFonts w:cs="Palatino Linotype"/>
        </w:rPr>
        <w:t>prerequisites to</w:t>
      </w:r>
      <w:r>
        <w:rPr>
          <w:rFonts w:cs="Palatino Linotype"/>
        </w:rPr>
        <w:t xml:space="preserve"> seek relief </w:t>
      </w:r>
      <w:r>
        <w:t xml:space="preserve">for the applicants who were unlawfully subjected to pre-offer medical examinations and inquiries. </w:t>
      </w:r>
      <w:proofErr w:type="gramStart"/>
      <w:r>
        <w:rPr>
          <w:rFonts w:cs="Palatino Linotype"/>
          <w:i/>
        </w:rPr>
        <w:t xml:space="preserve">EEOC </w:t>
      </w:r>
      <w:r>
        <w:rPr>
          <w:rFonts w:cs="Palatino Linotype"/>
          <w:i/>
          <w:spacing w:val="-6"/>
        </w:rPr>
        <w:t xml:space="preserve">v. </w:t>
      </w:r>
      <w:r>
        <w:rPr>
          <w:rFonts w:cs="Palatino Linotype"/>
          <w:i/>
        </w:rPr>
        <w:t>Pitre, Inc.</w:t>
      </w:r>
      <w:r>
        <w:t xml:space="preserve">, 908 </w:t>
      </w:r>
      <w:r>
        <w:rPr>
          <w:spacing w:val="-8"/>
        </w:rPr>
        <w:t xml:space="preserve">F. </w:t>
      </w:r>
      <w:r>
        <w:t>Supp. 2d 1165, 1173 (D.N.M. 2012).</w:t>
      </w:r>
      <w:proofErr w:type="gramEnd"/>
      <w:r>
        <w:t xml:space="preserve">  </w:t>
      </w:r>
      <w:r>
        <w:rPr>
          <w:spacing w:val="-8"/>
        </w:rPr>
        <w:t xml:space="preserve">To </w:t>
      </w:r>
      <w:r>
        <w:t xml:space="preserve">obtain relief for a particular individual, </w:t>
      </w:r>
      <w:r>
        <w:rPr>
          <w:spacing w:val="-3"/>
        </w:rPr>
        <w:t xml:space="preserve">however, </w:t>
      </w:r>
      <w:r>
        <w:t>the EEOC must establish ea</w:t>
      </w:r>
      <w:r>
        <w:t xml:space="preserve">ch element of his or her claim.  </w:t>
      </w:r>
      <w:r>
        <w:rPr>
          <w:rFonts w:cs="Palatino Linotype"/>
          <w:i/>
        </w:rPr>
        <w:t xml:space="preserve">EEOC </w:t>
      </w:r>
      <w:r>
        <w:rPr>
          <w:rFonts w:cs="Palatino Linotype"/>
          <w:i/>
          <w:spacing w:val="-6"/>
        </w:rPr>
        <w:t xml:space="preserve">v. </w:t>
      </w:r>
      <w:r>
        <w:rPr>
          <w:rFonts w:cs="Palatino Linotype"/>
          <w:i/>
        </w:rPr>
        <w:t xml:space="preserve">CRST </w:t>
      </w:r>
      <w:r>
        <w:rPr>
          <w:rFonts w:cs="Palatino Linotype"/>
          <w:i/>
          <w:spacing w:val="-8"/>
        </w:rPr>
        <w:t xml:space="preserve">Van </w:t>
      </w:r>
      <w:r>
        <w:rPr>
          <w:rFonts w:cs="Palatino Linotype"/>
          <w:i/>
        </w:rPr>
        <w:t>Expedited, Inc.</w:t>
      </w:r>
      <w:r>
        <w:t xml:space="preserve">, 611 </w:t>
      </w:r>
      <w:r>
        <w:rPr>
          <w:spacing w:val="-8"/>
        </w:rPr>
        <w:t xml:space="preserve">F. </w:t>
      </w:r>
      <w:r>
        <w:t>Supp. 2d 918, 929 (N.D. Iowa</w:t>
      </w:r>
      <w:r>
        <w:rPr>
          <w:spacing w:val="2"/>
        </w:rPr>
        <w:t xml:space="preserve"> </w:t>
      </w:r>
      <w:r>
        <w:t>2009).</w:t>
      </w:r>
    </w:p>
    <w:p w:rsidR="002A1594" w:rsidRDefault="00073D1D">
      <w:pPr>
        <w:pStyle w:val="BodyText"/>
        <w:spacing w:before="0" w:line="480" w:lineRule="auto"/>
        <w:ind w:right="104" w:firstLine="719"/>
        <w:jc w:val="both"/>
      </w:pPr>
      <w:r>
        <w:rPr>
          <w:rFonts w:cs="Palatino Linotype"/>
        </w:rPr>
        <w:t xml:space="preserve">A violation of § 12112(d) occurs as soon as a covered employer “conducts an </w:t>
      </w:r>
      <w:r>
        <w:t>improper medical examination or asks an improper disability-related qu</w:t>
      </w:r>
      <w:r>
        <w:t xml:space="preserve">estion, regardless </w:t>
      </w:r>
      <w:r>
        <w:rPr>
          <w:rFonts w:cs="Palatino Linotype"/>
        </w:rPr>
        <w:t xml:space="preserve">of the results or response.”   </w:t>
      </w:r>
      <w:proofErr w:type="gramStart"/>
      <w:r>
        <w:rPr>
          <w:rFonts w:cs="Palatino Linotype"/>
          <w:i/>
        </w:rPr>
        <w:t>Green</w:t>
      </w:r>
      <w:r>
        <w:t xml:space="preserve">, 107 </w:t>
      </w:r>
      <w:r>
        <w:rPr>
          <w:rFonts w:cs="Palatino Linotype"/>
          <w:spacing w:val="-8"/>
        </w:rPr>
        <w:t xml:space="preserve">F. </w:t>
      </w:r>
      <w:r>
        <w:rPr>
          <w:rFonts w:cs="Palatino Linotype"/>
        </w:rPr>
        <w:t xml:space="preserve">App’x </w:t>
      </w:r>
      <w:r>
        <w:t>at 280.</w:t>
      </w:r>
      <w:proofErr w:type="gramEnd"/>
      <w:r>
        <w:t xml:space="preserve">       </w:t>
      </w:r>
      <w:r>
        <w:rPr>
          <w:spacing w:val="28"/>
        </w:rPr>
        <w:t xml:space="preserve"> </w:t>
      </w:r>
      <w:r>
        <w:t>The parties do not dispute that</w:t>
      </w:r>
    </w:p>
    <w:p w:rsidR="002A1594" w:rsidRDefault="002A1594">
      <w:pPr>
        <w:spacing w:before="2"/>
        <w:rPr>
          <w:rFonts w:ascii="Palatino Linotype" w:eastAsia="Palatino Linotype" w:hAnsi="Palatino Linotype" w:cs="Palatino Linotype"/>
          <w:sz w:val="26"/>
          <w:szCs w:val="26"/>
        </w:rPr>
      </w:pPr>
    </w:p>
    <w:p w:rsidR="002A1594" w:rsidRDefault="00073D1D">
      <w:pPr>
        <w:pStyle w:val="BodyText"/>
        <w:ind w:left="4371" w:right="4369"/>
        <w:jc w:val="center"/>
      </w:pPr>
      <w:r>
        <w:t>35</w:t>
      </w:r>
    </w:p>
    <w:p w:rsidR="002A1594" w:rsidRDefault="002A1594">
      <w:pPr>
        <w:jc w:val="center"/>
        <w:sectPr w:rsidR="002A1594">
          <w:pgSz w:w="12240" w:h="15840"/>
          <w:pgMar w:top="540" w:right="162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100"/>
        <w:jc w:val="both"/>
      </w:pPr>
      <w:proofErr w:type="gramStart"/>
      <w:r>
        <w:t>more</w:t>
      </w:r>
      <w:proofErr w:type="gramEnd"/>
      <w:r>
        <w:t xml:space="preserve"> than 300 statutory violations occurred in this case. </w:t>
      </w:r>
      <w:proofErr w:type="gramStart"/>
      <w:r>
        <w:t>(ECF No. 131 ¶ 2).</w:t>
      </w:r>
      <w:proofErr w:type="gramEnd"/>
      <w:r>
        <w:t xml:space="preserve"> Those violations obviously satisfy the statutory predicate for injunctive relief. 42 U.S.C. § 2000e- 5(g</w:t>
      </w:r>
      <w:proofErr w:type="gramStart"/>
      <w:r>
        <w:t>)(</w:t>
      </w:r>
      <w:proofErr w:type="gramEnd"/>
      <w:r>
        <w:t>1). In addition to equitable relief, the EEOC seeks awards of money damag</w:t>
      </w:r>
      <w:r>
        <w:t xml:space="preserve">es on </w:t>
      </w:r>
      <w:r>
        <w:rPr>
          <w:rFonts w:cs="Palatino Linotype"/>
        </w:rPr>
        <w:t xml:space="preserve">behalf of individuals aggrieved by the Defendants’ conduct. </w:t>
      </w:r>
      <w:r>
        <w:t>(ECF No. 1 at 6-7, ¶¶</w:t>
      </w:r>
      <w:r>
        <w:rPr>
          <w:spacing w:val="14"/>
        </w:rPr>
        <w:t xml:space="preserve"> </w:t>
      </w:r>
      <w:proofErr w:type="gramStart"/>
      <w:r>
        <w:t>A-</w:t>
      </w:r>
      <w:proofErr w:type="gramEnd"/>
      <w:r>
        <w:t>I).</w:t>
      </w:r>
    </w:p>
    <w:p w:rsidR="002A1594" w:rsidRDefault="00073D1D">
      <w:pPr>
        <w:pStyle w:val="BodyText"/>
        <w:spacing w:before="0" w:line="480" w:lineRule="auto"/>
        <w:ind w:right="102" w:firstLine="719"/>
        <w:jc w:val="both"/>
      </w:pPr>
      <w:r>
        <w:rPr>
          <w:rFonts w:cs="Palatino Linotype"/>
        </w:rPr>
        <w:t xml:space="preserve">Title </w:t>
      </w:r>
      <w:r>
        <w:rPr>
          <w:rFonts w:cs="Palatino Linotype"/>
          <w:spacing w:val="-5"/>
        </w:rPr>
        <w:t xml:space="preserve">VII’s </w:t>
      </w:r>
      <w:r>
        <w:rPr>
          <w:rFonts w:cs="Palatino Linotype"/>
        </w:rPr>
        <w:t xml:space="preserve">remedial scheme is available to plaintiffs aggrieved by ADA violations </w:t>
      </w:r>
      <w:r>
        <w:t xml:space="preserve">committed in the employment setting. </w:t>
      </w:r>
      <w:proofErr w:type="gramStart"/>
      <w:r>
        <w:t>42 U.S.C. § 12117(a).</w:t>
      </w:r>
      <w:proofErr w:type="gramEnd"/>
      <w:r>
        <w:t xml:space="preserve"> Before 1991, plainti</w:t>
      </w:r>
      <w:r>
        <w:t xml:space="preserve">ffs </w:t>
      </w:r>
      <w:r>
        <w:rPr>
          <w:rFonts w:cs="Palatino Linotype"/>
        </w:rPr>
        <w:t xml:space="preserve">proceeding under Title VII could only seek “equitable” remedies. </w:t>
      </w:r>
      <w:r>
        <w:rPr>
          <w:rFonts w:cs="Palatino Linotype"/>
          <w:i/>
        </w:rPr>
        <w:t xml:space="preserve">Landgraf </w:t>
      </w:r>
      <w:r>
        <w:rPr>
          <w:rFonts w:cs="Palatino Linotype"/>
          <w:i/>
          <w:spacing w:val="-6"/>
        </w:rPr>
        <w:t xml:space="preserve">v. </w:t>
      </w:r>
      <w:r>
        <w:rPr>
          <w:rFonts w:cs="Palatino Linotype"/>
          <w:i/>
        </w:rPr>
        <w:t xml:space="preserve">USI Film </w:t>
      </w:r>
      <w:proofErr w:type="gramStart"/>
      <w:r>
        <w:rPr>
          <w:rFonts w:cs="Palatino Linotype"/>
          <w:i/>
        </w:rPr>
        <w:t>Prods.</w:t>
      </w:r>
      <w:r>
        <w:t>,</w:t>
      </w:r>
      <w:proofErr w:type="gramEnd"/>
      <w:r>
        <w:t xml:space="preserve"> 511 U.S. 244, 252 (1994). Backpay </w:t>
      </w:r>
      <w:r>
        <w:rPr>
          <w:spacing w:val="-3"/>
        </w:rPr>
        <w:t xml:space="preserve">was </w:t>
      </w:r>
      <w:r>
        <w:t xml:space="preserve">the primary form of monetary </w:t>
      </w:r>
      <w:proofErr w:type="gramStart"/>
      <w:r>
        <w:t>relief  available</w:t>
      </w:r>
      <w:proofErr w:type="gramEnd"/>
      <w:r>
        <w:t xml:space="preserve"> to aggrieved individuals. </w:t>
      </w:r>
      <w:proofErr w:type="gramStart"/>
      <w:r>
        <w:rPr>
          <w:rFonts w:cs="Palatino Linotype"/>
          <w:i/>
        </w:rPr>
        <w:t xml:space="preserve">Id. </w:t>
      </w:r>
      <w:r>
        <w:t>at 252-53.</w:t>
      </w:r>
      <w:proofErr w:type="gramEnd"/>
      <w:r>
        <w:t xml:space="preserve"> Section 102 of </w:t>
      </w:r>
      <w:proofErr w:type="gramStart"/>
      <w:r>
        <w:t>the  Civil</w:t>
      </w:r>
      <w:proofErr w:type="gramEnd"/>
      <w:r>
        <w:t xml:space="preserve"> Rights</w:t>
      </w:r>
      <w:r>
        <w:t xml:space="preserve"> Act of  1991 added compensatory and punitive damages to the remedies otherwise available under Title VII and the ADA.</w:t>
      </w:r>
      <w:r>
        <w:rPr>
          <w:position w:val="6"/>
          <w:sz w:val="13"/>
          <w:szCs w:val="13"/>
        </w:rPr>
        <w:t xml:space="preserve">8   </w:t>
      </w:r>
      <w:r>
        <w:t xml:space="preserve">Pub. </w:t>
      </w:r>
      <w:proofErr w:type="gramStart"/>
      <w:r>
        <w:t>L. No. 102-166, § 102; 105 Stat. 1071, 1072-74</w:t>
      </w:r>
      <w:r>
        <w:rPr>
          <w:spacing w:val="-18"/>
        </w:rPr>
        <w:t xml:space="preserve"> </w:t>
      </w:r>
      <w:r>
        <w:t>(1991).</w:t>
      </w:r>
      <w:proofErr w:type="gramEnd"/>
    </w:p>
    <w:p w:rsidR="002A1594" w:rsidRDefault="00073D1D">
      <w:pPr>
        <w:pStyle w:val="BodyText"/>
        <w:spacing w:before="1" w:line="480" w:lineRule="auto"/>
        <w:ind w:right="101" w:firstLine="719"/>
        <w:jc w:val="both"/>
        <w:rPr>
          <w:rFonts w:cs="Palatino Linotype"/>
        </w:rPr>
      </w:pPr>
      <w:r>
        <w:pict>
          <v:group id="_x0000_s1054" style="position:absolute;left:0;text-align:left;margin-left:86.4pt;margin-top:236.45pt;width:144.05pt;height:.1pt;z-index:-24472;mso-position-horizontal-relative:page" coordorigin="1728,4729" coordsize="2881,2">
            <v:shape id="_x0000_s1055" style="position:absolute;left:1728;top:4729;width:2881;height:2" coordorigin="1728,4729" coordsize="2881,0" path="m1728,4729r2881,e" filled="f" strokeweight=".6pt">
              <v:path arrowok="t"/>
            </v:shape>
            <w10:wrap anchorx="page"/>
          </v:group>
        </w:pict>
      </w:r>
      <w:r>
        <w:t xml:space="preserve">The relevant statutory language, codified at 42 U.S.C. § </w:t>
      </w:r>
      <w:proofErr w:type="gramStart"/>
      <w:r>
        <w:t>1981a(</w:t>
      </w:r>
      <w:proofErr w:type="gramEnd"/>
      <w:r>
        <w:t>2), permi</w:t>
      </w:r>
      <w:r>
        <w:t xml:space="preserve">ts a </w:t>
      </w:r>
      <w:r>
        <w:rPr>
          <w:rFonts w:cs="Palatino Linotype"/>
        </w:rPr>
        <w:t>“complaining party”</w:t>
      </w:r>
      <w:r>
        <w:rPr>
          <w:position w:val="6"/>
          <w:sz w:val="13"/>
          <w:szCs w:val="13"/>
        </w:rPr>
        <w:t xml:space="preserve">9 </w:t>
      </w:r>
      <w:r>
        <w:rPr>
          <w:rFonts w:cs="Palatino Linotype"/>
        </w:rPr>
        <w:t xml:space="preserve">to “recover compensatory and punitive damages” from a covered </w:t>
      </w:r>
      <w:r>
        <w:t xml:space="preserve">entity responsible for violating § 102 of the ADA. The provisions governing medical examinations and inquiries are included within § 102. </w:t>
      </w:r>
      <w:proofErr w:type="gramStart"/>
      <w:r>
        <w:t>Pub.</w:t>
      </w:r>
      <w:proofErr w:type="gramEnd"/>
      <w:r>
        <w:t xml:space="preserve"> </w:t>
      </w:r>
      <w:proofErr w:type="gramStart"/>
      <w:r>
        <w:t>L. No. 101-336, § 102; 10</w:t>
      </w:r>
      <w:r>
        <w:t>4 Stat. 327, 331-33 (1990).</w:t>
      </w:r>
      <w:proofErr w:type="gramEnd"/>
      <w:r>
        <w:t xml:space="preserve"> The compensatory damages available to individuals aggrieved by violations of Title I include remuneration for </w:t>
      </w:r>
      <w:r>
        <w:rPr>
          <w:rFonts w:cs="Palatino Linotype"/>
        </w:rPr>
        <w:t xml:space="preserve">“future pecuniary losses, emotional pain, </w:t>
      </w:r>
      <w:r>
        <w:t>suffering, inconvenience, mental anguish, loss of enjoyment of life, and oth</w:t>
      </w:r>
      <w:r>
        <w:t xml:space="preserve">er </w:t>
      </w:r>
      <w:r>
        <w:rPr>
          <w:rFonts w:cs="Palatino Linotype"/>
        </w:rPr>
        <w:t xml:space="preserve">nonpecuniary losses.”  42 U.S.C. § </w:t>
      </w:r>
      <w:proofErr w:type="gramStart"/>
      <w:r>
        <w:rPr>
          <w:rFonts w:cs="Palatino Linotype"/>
        </w:rPr>
        <w:t>1981a(</w:t>
      </w:r>
      <w:proofErr w:type="gramEnd"/>
      <w:r>
        <w:rPr>
          <w:rFonts w:cs="Palatino Linotype"/>
        </w:rPr>
        <w:t>b)(3).  Punitive damages may be awarded upon</w:t>
      </w:r>
      <w:r>
        <w:rPr>
          <w:rFonts w:cs="Palatino Linotype"/>
          <w:spacing w:val="-6"/>
        </w:rPr>
        <w:t xml:space="preserve"> </w:t>
      </w:r>
      <w:r>
        <w:rPr>
          <w:rFonts w:cs="Palatino Linotype"/>
        </w:rPr>
        <w:t>a</w:t>
      </w:r>
    </w:p>
    <w:p w:rsidR="002A1594" w:rsidRDefault="00073D1D">
      <w:pPr>
        <w:spacing w:before="96"/>
        <w:ind w:left="108" w:right="149"/>
        <w:rPr>
          <w:rFonts w:ascii="Palatino Linotype" w:eastAsia="Palatino Linotype" w:hAnsi="Palatino Linotype" w:cs="Palatino Linotype"/>
          <w:sz w:val="21"/>
          <w:szCs w:val="21"/>
        </w:rPr>
      </w:pPr>
      <w:proofErr w:type="gramStart"/>
      <w:r>
        <w:rPr>
          <w:rFonts w:ascii="Palatino Linotype"/>
          <w:position w:val="6"/>
          <w:sz w:val="13"/>
        </w:rPr>
        <w:t xml:space="preserve">8  </w:t>
      </w:r>
      <w:r>
        <w:rPr>
          <w:rFonts w:ascii="Palatino Linotype"/>
          <w:sz w:val="21"/>
        </w:rPr>
        <w:t>Title</w:t>
      </w:r>
      <w:proofErr w:type="gramEnd"/>
      <w:r>
        <w:rPr>
          <w:rFonts w:ascii="Palatino Linotype"/>
          <w:sz w:val="21"/>
        </w:rPr>
        <w:t xml:space="preserve"> I of the ADA became effective on July 26, 1992.  By that time, the Civil Rights Act </w:t>
      </w:r>
      <w:proofErr w:type="gramStart"/>
      <w:r>
        <w:rPr>
          <w:rFonts w:ascii="Palatino Linotype"/>
          <w:sz w:val="21"/>
        </w:rPr>
        <w:t>of  1991</w:t>
      </w:r>
      <w:proofErr w:type="gramEnd"/>
      <w:r>
        <w:rPr>
          <w:rFonts w:ascii="Palatino Linotype"/>
          <w:sz w:val="21"/>
        </w:rPr>
        <w:t xml:space="preserve"> had already been signed into law.  </w:t>
      </w:r>
      <w:proofErr w:type="gramStart"/>
      <w:r>
        <w:rPr>
          <w:rFonts w:ascii="Palatino Linotype"/>
          <w:sz w:val="21"/>
        </w:rPr>
        <w:t>Pub.</w:t>
      </w:r>
      <w:proofErr w:type="gramEnd"/>
      <w:r>
        <w:rPr>
          <w:rFonts w:ascii="Palatino Linotype"/>
          <w:sz w:val="21"/>
        </w:rPr>
        <w:t xml:space="preserve"> </w:t>
      </w:r>
      <w:proofErr w:type="gramStart"/>
      <w:r>
        <w:rPr>
          <w:rFonts w:ascii="Palatino Linotype"/>
          <w:sz w:val="21"/>
        </w:rPr>
        <w:t>L. No. 102-166; 105 Sta</w:t>
      </w:r>
      <w:r>
        <w:rPr>
          <w:rFonts w:ascii="Palatino Linotype"/>
          <w:sz w:val="21"/>
        </w:rPr>
        <w:t>t. 1071, 1100</w:t>
      </w:r>
      <w:r>
        <w:rPr>
          <w:rFonts w:ascii="Palatino Linotype"/>
          <w:spacing w:val="-14"/>
          <w:sz w:val="21"/>
        </w:rPr>
        <w:t xml:space="preserve"> </w:t>
      </w:r>
      <w:r>
        <w:rPr>
          <w:rFonts w:ascii="Palatino Linotype"/>
          <w:sz w:val="21"/>
        </w:rPr>
        <w:t>(1991).</w:t>
      </w:r>
      <w:proofErr w:type="gramEnd"/>
    </w:p>
    <w:p w:rsidR="002A1594" w:rsidRDefault="002A1594">
      <w:pPr>
        <w:spacing w:before="13"/>
        <w:rPr>
          <w:rFonts w:ascii="Palatino Linotype" w:eastAsia="Palatino Linotype" w:hAnsi="Palatino Linotype" w:cs="Palatino Linotype"/>
          <w:sz w:val="20"/>
          <w:szCs w:val="20"/>
        </w:rPr>
      </w:pPr>
    </w:p>
    <w:p w:rsidR="002A1594" w:rsidRDefault="00073D1D">
      <w:pPr>
        <w:ind w:left="108" w:right="64"/>
        <w:rPr>
          <w:rFonts w:ascii="Palatino Linotype" w:eastAsia="Palatino Linotype" w:hAnsi="Palatino Linotype" w:cs="Palatino Linotype"/>
          <w:sz w:val="21"/>
          <w:szCs w:val="21"/>
        </w:rPr>
      </w:pPr>
      <w:r>
        <w:rPr>
          <w:rFonts w:ascii="Palatino Linotype" w:eastAsia="Palatino Linotype" w:hAnsi="Palatino Linotype" w:cs="Palatino Linotype"/>
          <w:position w:val="6"/>
          <w:sz w:val="13"/>
          <w:szCs w:val="13"/>
        </w:rPr>
        <w:t xml:space="preserve">9 </w:t>
      </w:r>
      <w:r>
        <w:rPr>
          <w:rFonts w:ascii="Palatino Linotype" w:eastAsia="Palatino Linotype" w:hAnsi="Palatino Linotype" w:cs="Palatino Linotype"/>
          <w:sz w:val="21"/>
          <w:szCs w:val="21"/>
        </w:rPr>
        <w:t xml:space="preserve">The EEOC qualifies as a “complaining party” under this statutory provision. 42 U.S.C. § </w:t>
      </w:r>
      <w:proofErr w:type="gramStart"/>
      <w:r>
        <w:rPr>
          <w:rFonts w:ascii="Palatino Linotype" w:eastAsia="Palatino Linotype" w:hAnsi="Palatino Linotype" w:cs="Palatino Linotype"/>
          <w:sz w:val="21"/>
          <w:szCs w:val="21"/>
        </w:rPr>
        <w:t>1981a(</w:t>
      </w:r>
      <w:proofErr w:type="gramEnd"/>
      <w:r>
        <w:rPr>
          <w:rFonts w:ascii="Palatino Linotype" w:eastAsia="Palatino Linotype" w:hAnsi="Palatino Linotype" w:cs="Palatino Linotype"/>
          <w:sz w:val="21"/>
          <w:szCs w:val="21"/>
        </w:rPr>
        <w:t>d)(1)(B).</w:t>
      </w:r>
    </w:p>
    <w:p w:rsidR="002A1594" w:rsidRDefault="002A1594">
      <w:pPr>
        <w:spacing w:before="12"/>
        <w:rPr>
          <w:rFonts w:ascii="Palatino Linotype" w:eastAsia="Palatino Linotype" w:hAnsi="Palatino Linotype" w:cs="Palatino Linotype"/>
          <w:sz w:val="19"/>
          <w:szCs w:val="19"/>
        </w:rPr>
      </w:pPr>
    </w:p>
    <w:p w:rsidR="002A1594" w:rsidRDefault="00073D1D">
      <w:pPr>
        <w:pStyle w:val="BodyText"/>
        <w:ind w:left="4371" w:right="4369"/>
        <w:jc w:val="center"/>
      </w:pPr>
      <w:r>
        <w:t>36</w:t>
      </w:r>
    </w:p>
    <w:p w:rsidR="002A1594" w:rsidRDefault="002A1594">
      <w:pPr>
        <w:jc w:val="center"/>
        <w:sectPr w:rsidR="002A1594">
          <w:pgSz w:w="12240" w:h="15840"/>
          <w:pgMar w:top="540" w:right="162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102"/>
        <w:jc w:val="both"/>
      </w:pPr>
      <w:proofErr w:type="gramStart"/>
      <w:r>
        <w:t>showing</w:t>
      </w:r>
      <w:proofErr w:type="gramEnd"/>
      <w:r>
        <w:t xml:space="preserve"> that the covered entity has </w:t>
      </w:r>
      <w:r>
        <w:rPr>
          <w:rFonts w:cs="Palatino Linotype"/>
        </w:rPr>
        <w:t xml:space="preserve">“engaged in a discriminatory practice or </w:t>
      </w:r>
      <w:r>
        <w:t xml:space="preserve">discriminatory practices with malice or with reckless indifference to the federally </w:t>
      </w:r>
      <w:r>
        <w:rPr>
          <w:rFonts w:cs="Palatino Linotype"/>
        </w:rPr>
        <w:t xml:space="preserve">protected rights of an aggrieved individual.” 42 U.S.C. § </w:t>
      </w:r>
      <w:proofErr w:type="gramStart"/>
      <w:r>
        <w:t>1981a(</w:t>
      </w:r>
      <w:proofErr w:type="gramEnd"/>
      <w:r>
        <w:t xml:space="preserve">b)(1). </w:t>
      </w:r>
      <w:r>
        <w:rPr>
          <w:spacing w:val="-2"/>
        </w:rPr>
        <w:t xml:space="preserve">The </w:t>
      </w:r>
      <w:r>
        <w:t xml:space="preserve">term </w:t>
      </w:r>
      <w:r>
        <w:rPr>
          <w:rFonts w:cs="Palatino Linotype"/>
        </w:rPr>
        <w:t xml:space="preserve">“discriminatory practice” is defined broadly enough to include </w:t>
      </w:r>
      <w:r>
        <w:t>intentional violations of § 1</w:t>
      </w:r>
      <w:r>
        <w:t>2112(d</w:t>
      </w:r>
      <w:proofErr w:type="gramStart"/>
      <w:r>
        <w:t>)(</w:t>
      </w:r>
      <w:proofErr w:type="gramEnd"/>
      <w:r>
        <w:t xml:space="preserve">2)(A). 42 U.S.C. §§ </w:t>
      </w:r>
      <w:proofErr w:type="gramStart"/>
      <w:r>
        <w:t>1981a(</w:t>
      </w:r>
      <w:proofErr w:type="gramEnd"/>
      <w:r>
        <w:t xml:space="preserve">a)(2), (d)(2). The total amount of compensatory and </w:t>
      </w:r>
      <w:proofErr w:type="gramStart"/>
      <w:r>
        <w:t>punitive  damages</w:t>
      </w:r>
      <w:proofErr w:type="gramEnd"/>
      <w:r>
        <w:t xml:space="preserve">  </w:t>
      </w:r>
      <w:r>
        <w:rPr>
          <w:rFonts w:cs="Palatino Linotype"/>
        </w:rPr>
        <w:t xml:space="preserve">available  to  “each  complaining  party”  </w:t>
      </w:r>
      <w:r>
        <w:t>is  capped  at anywhere</w:t>
      </w:r>
      <w:r>
        <w:rPr>
          <w:spacing w:val="3"/>
        </w:rPr>
        <w:t xml:space="preserve"> </w:t>
      </w:r>
      <w:r>
        <w:t>from</w:t>
      </w:r>
    </w:p>
    <w:p w:rsidR="002A1594" w:rsidRDefault="00073D1D">
      <w:pPr>
        <w:pStyle w:val="BodyText"/>
        <w:spacing w:before="0" w:line="480" w:lineRule="auto"/>
        <w:ind w:right="106"/>
        <w:jc w:val="both"/>
      </w:pPr>
      <w:r>
        <w:t>$50,000 to $300,000, depending on the number of individuals employed by the cov</w:t>
      </w:r>
      <w:r>
        <w:t xml:space="preserve">ered </w:t>
      </w:r>
      <w:r>
        <w:rPr>
          <w:spacing w:val="-4"/>
        </w:rPr>
        <w:t>entity.</w:t>
      </w:r>
      <w:r>
        <w:rPr>
          <w:spacing w:val="-4"/>
          <w:position w:val="6"/>
          <w:sz w:val="13"/>
          <w:szCs w:val="13"/>
        </w:rPr>
        <w:t xml:space="preserve">10    </w:t>
      </w:r>
      <w:r>
        <w:t>42 U.S.C. §</w:t>
      </w:r>
      <w:r>
        <w:rPr>
          <w:spacing w:val="-3"/>
        </w:rPr>
        <w:t xml:space="preserve"> </w:t>
      </w:r>
      <w:proofErr w:type="gramStart"/>
      <w:r>
        <w:t>1981a(</w:t>
      </w:r>
      <w:proofErr w:type="gramEnd"/>
      <w:r>
        <w:t>3)(A)-(D).</w:t>
      </w:r>
    </w:p>
    <w:p w:rsidR="002A1594" w:rsidRDefault="00073D1D">
      <w:pPr>
        <w:pStyle w:val="BodyText"/>
        <w:spacing w:before="1" w:line="480" w:lineRule="auto"/>
        <w:ind w:right="101" w:firstLine="719"/>
        <w:jc w:val="both"/>
      </w:pPr>
      <w:r>
        <w:t xml:space="preserve">The </w:t>
      </w:r>
      <w:r>
        <w:rPr>
          <w:rFonts w:cs="Palatino Linotype"/>
        </w:rPr>
        <w:t xml:space="preserve">Civil Rights Act of 1991 permits any party to “demand a trial by jury” “[i]f a </w:t>
      </w:r>
      <w:r>
        <w:t xml:space="preserve">complaining party seeks compensatory </w:t>
      </w:r>
      <w:r>
        <w:rPr>
          <w:rFonts w:cs="Palatino Linotype"/>
          <w:i/>
        </w:rPr>
        <w:t xml:space="preserve">or </w:t>
      </w:r>
      <w:r>
        <w:rPr>
          <w:rFonts w:cs="Palatino Linotype"/>
        </w:rPr>
        <w:t xml:space="preserve">punitive damages” under Title I. 42 U.S.C. § </w:t>
      </w:r>
      <w:r>
        <w:t>1981a(c</w:t>
      </w:r>
      <w:proofErr w:type="gramStart"/>
      <w:r>
        <w:t>)(</w:t>
      </w:r>
      <w:proofErr w:type="gramEnd"/>
      <w:r>
        <w:t>1)(emphasis added). The disjunct</w:t>
      </w:r>
      <w:r>
        <w:t xml:space="preserve">ive wording of this language suggests that a plaintiff can seek an award of punitive damages without seeking an award of compensatory damages. </w:t>
      </w:r>
      <w:r>
        <w:rPr>
          <w:rFonts w:cs="Palatino Linotype"/>
          <w:i/>
        </w:rPr>
        <w:t xml:space="preserve">Harding </w:t>
      </w:r>
      <w:r>
        <w:rPr>
          <w:rFonts w:cs="Palatino Linotype"/>
          <w:i/>
          <w:spacing w:val="-6"/>
        </w:rPr>
        <w:t xml:space="preserve">v. </w:t>
      </w:r>
      <w:r>
        <w:rPr>
          <w:rFonts w:cs="Palatino Linotype"/>
          <w:i/>
        </w:rPr>
        <w:t>Provident Life &amp; Accident Ins. Co.</w:t>
      </w:r>
      <w:r>
        <w:t xml:space="preserve">, 809 </w:t>
      </w:r>
      <w:r>
        <w:rPr>
          <w:spacing w:val="-8"/>
        </w:rPr>
        <w:t xml:space="preserve">F. </w:t>
      </w:r>
      <w:r>
        <w:t xml:space="preserve">Supp.2d 403, 415-16 </w:t>
      </w:r>
      <w:r>
        <w:rPr>
          <w:spacing w:val="-5"/>
        </w:rPr>
        <w:t xml:space="preserve">(W.D. </w:t>
      </w:r>
      <w:r>
        <w:rPr>
          <w:spacing w:val="-3"/>
        </w:rPr>
        <w:t xml:space="preserve">Pa. </w:t>
      </w:r>
      <w:r>
        <w:t>2011) (</w:t>
      </w:r>
      <w:r>
        <w:rPr>
          <w:rFonts w:cs="Palatino Linotype"/>
        </w:rPr>
        <w:t xml:space="preserve">interpreting a statutory phrase in which the word </w:t>
      </w:r>
      <w:r>
        <w:rPr>
          <w:rFonts w:cs="Palatino Linotype"/>
          <w:spacing w:val="3"/>
        </w:rPr>
        <w:t xml:space="preserve">“or” </w:t>
      </w:r>
      <w:r>
        <w:rPr>
          <w:rFonts w:cs="Palatino Linotype"/>
        </w:rPr>
        <w:t xml:space="preserve">was </w:t>
      </w:r>
      <w:proofErr w:type="gramStart"/>
      <w:r>
        <w:rPr>
          <w:rFonts w:cs="Palatino Linotype"/>
        </w:rPr>
        <w:t xml:space="preserve">used  </w:t>
      </w:r>
      <w:r>
        <w:t>to</w:t>
      </w:r>
      <w:proofErr w:type="gramEnd"/>
      <w:r>
        <w:t xml:space="preserve"> separate two alternatives). Several Courts of Appeals have concluded that punitive damages may be assessed under the relevant statutory provisions even if no compensatory damages are award</w:t>
      </w:r>
      <w:r>
        <w:t xml:space="preserve">ed. </w:t>
      </w:r>
      <w:proofErr w:type="gramStart"/>
      <w:r>
        <w:rPr>
          <w:rFonts w:cs="Palatino Linotype"/>
          <w:i/>
        </w:rPr>
        <w:t xml:space="preserve">Abner </w:t>
      </w:r>
      <w:r>
        <w:rPr>
          <w:rFonts w:cs="Palatino Linotype"/>
          <w:i/>
          <w:spacing w:val="-6"/>
        </w:rPr>
        <w:t xml:space="preserve">v. </w:t>
      </w:r>
      <w:r>
        <w:rPr>
          <w:rFonts w:cs="Palatino Linotype"/>
          <w:i/>
        </w:rPr>
        <w:t>Kansas City S. R.R. Co.</w:t>
      </w:r>
      <w:r>
        <w:t xml:space="preserve">, 513 </w:t>
      </w:r>
      <w:r>
        <w:rPr>
          <w:spacing w:val="-4"/>
        </w:rPr>
        <w:t xml:space="preserve">F.3d </w:t>
      </w:r>
      <w:r>
        <w:t xml:space="preserve">154, 159-60 (5th </w:t>
      </w:r>
      <w:r>
        <w:rPr>
          <w:spacing w:val="-4"/>
        </w:rPr>
        <w:t xml:space="preserve">Cir. </w:t>
      </w:r>
      <w:r>
        <w:t xml:space="preserve">2008); </w:t>
      </w:r>
      <w:r>
        <w:rPr>
          <w:rFonts w:cs="Palatino Linotype"/>
          <w:i/>
          <w:spacing w:val="-3"/>
        </w:rPr>
        <w:t xml:space="preserve">Tisdale </w:t>
      </w:r>
      <w:r>
        <w:rPr>
          <w:rFonts w:cs="Palatino Linotype"/>
          <w:i/>
          <w:spacing w:val="-8"/>
        </w:rPr>
        <w:t xml:space="preserve">v. </w:t>
      </w:r>
      <w:r>
        <w:rPr>
          <w:rFonts w:cs="Palatino Linotype"/>
          <w:i/>
        </w:rPr>
        <w:t>Fed.</w:t>
      </w:r>
      <w:proofErr w:type="gramEnd"/>
      <w:r>
        <w:rPr>
          <w:rFonts w:cs="Palatino Linotype"/>
          <w:i/>
        </w:rPr>
        <w:t xml:space="preserve"> </w:t>
      </w:r>
      <w:proofErr w:type="gramStart"/>
      <w:r>
        <w:rPr>
          <w:rFonts w:cs="Palatino Linotype"/>
          <w:i/>
        </w:rPr>
        <w:t>Express Corp.</w:t>
      </w:r>
      <w:r>
        <w:t xml:space="preserve">, 415 </w:t>
      </w:r>
      <w:r>
        <w:rPr>
          <w:spacing w:val="-4"/>
        </w:rPr>
        <w:t xml:space="preserve">F.3d </w:t>
      </w:r>
      <w:r>
        <w:t xml:space="preserve">516, 534-35 (6th </w:t>
      </w:r>
      <w:r>
        <w:rPr>
          <w:spacing w:val="-4"/>
        </w:rPr>
        <w:t xml:space="preserve">Cir. </w:t>
      </w:r>
      <w:r>
        <w:t xml:space="preserve">2005); </w:t>
      </w:r>
      <w:r>
        <w:rPr>
          <w:rFonts w:cs="Palatino Linotype"/>
          <w:i/>
        </w:rPr>
        <w:t xml:space="preserve">Cush- Crawford </w:t>
      </w:r>
      <w:r>
        <w:rPr>
          <w:rFonts w:cs="Palatino Linotype"/>
          <w:i/>
          <w:spacing w:val="-6"/>
        </w:rPr>
        <w:t xml:space="preserve">v. </w:t>
      </w:r>
      <w:r>
        <w:rPr>
          <w:rFonts w:cs="Palatino Linotype"/>
          <w:i/>
        </w:rPr>
        <w:t>Adchem Corp.</w:t>
      </w:r>
      <w:r>
        <w:t xml:space="preserve">, 271 </w:t>
      </w:r>
      <w:r>
        <w:rPr>
          <w:spacing w:val="-4"/>
        </w:rPr>
        <w:t xml:space="preserve">F.3d </w:t>
      </w:r>
      <w:r>
        <w:t xml:space="preserve">352, 359 (2d </w:t>
      </w:r>
      <w:r>
        <w:rPr>
          <w:spacing w:val="-4"/>
        </w:rPr>
        <w:t xml:space="preserve">Cir. </w:t>
      </w:r>
      <w:r>
        <w:t xml:space="preserve">2001); </w:t>
      </w:r>
      <w:r>
        <w:rPr>
          <w:rFonts w:cs="Palatino Linotype"/>
          <w:i/>
          <w:spacing w:val="-5"/>
        </w:rPr>
        <w:t xml:space="preserve">Timm </w:t>
      </w:r>
      <w:r>
        <w:rPr>
          <w:rFonts w:cs="Palatino Linotype"/>
          <w:i/>
          <w:spacing w:val="-6"/>
        </w:rPr>
        <w:t xml:space="preserve">v. </w:t>
      </w:r>
      <w:r>
        <w:rPr>
          <w:rFonts w:cs="Palatino Linotype"/>
          <w:i/>
        </w:rPr>
        <w:t xml:space="preserve">Progressive Steel </w:t>
      </w:r>
      <w:r>
        <w:rPr>
          <w:rFonts w:cs="Palatino Linotype"/>
          <w:i/>
          <w:spacing w:val="-5"/>
        </w:rPr>
        <w:t xml:space="preserve">Treating, </w:t>
      </w:r>
      <w:r>
        <w:rPr>
          <w:rFonts w:cs="Palatino Linotype"/>
          <w:i/>
        </w:rPr>
        <w:t>Inc.</w:t>
      </w:r>
      <w:r>
        <w:t>, 137</w:t>
      </w:r>
      <w:r>
        <w:t xml:space="preserve"> </w:t>
      </w:r>
      <w:r>
        <w:rPr>
          <w:spacing w:val="-4"/>
        </w:rPr>
        <w:t xml:space="preserve">F.3d </w:t>
      </w:r>
      <w:r>
        <w:t xml:space="preserve">1008, 1009-10 (7th </w:t>
      </w:r>
      <w:r>
        <w:rPr>
          <w:spacing w:val="-4"/>
        </w:rPr>
        <w:t>Cir.</w:t>
      </w:r>
      <w:r>
        <w:rPr>
          <w:spacing w:val="-1"/>
        </w:rPr>
        <w:t xml:space="preserve"> </w:t>
      </w:r>
      <w:r>
        <w:t>1998).</w:t>
      </w:r>
      <w:proofErr w:type="gramEnd"/>
    </w:p>
    <w:p w:rsidR="002A1594" w:rsidRDefault="002A1594">
      <w:pPr>
        <w:spacing w:before="1"/>
        <w:rPr>
          <w:rFonts w:ascii="Palatino Linotype" w:eastAsia="Palatino Linotype" w:hAnsi="Palatino Linotype" w:cs="Palatino Linotype"/>
          <w:sz w:val="17"/>
          <w:szCs w:val="17"/>
        </w:rPr>
      </w:pPr>
    </w:p>
    <w:p w:rsidR="002A1594" w:rsidRDefault="00073D1D">
      <w:pPr>
        <w:spacing w:line="20" w:lineRule="exact"/>
        <w:ind w:left="102"/>
        <w:rPr>
          <w:rFonts w:ascii="Palatino Linotype" w:eastAsia="Palatino Linotype" w:hAnsi="Palatino Linotype" w:cs="Palatino Linotype"/>
          <w:sz w:val="2"/>
          <w:szCs w:val="2"/>
        </w:rPr>
      </w:pPr>
      <w:r>
        <w:rPr>
          <w:rFonts w:ascii="Palatino Linotype" w:eastAsia="Palatino Linotype" w:hAnsi="Palatino Linotype" w:cs="Palatino Linotype"/>
          <w:sz w:val="2"/>
          <w:szCs w:val="2"/>
        </w:rPr>
      </w:r>
      <w:r>
        <w:rPr>
          <w:rFonts w:ascii="Palatino Linotype" w:eastAsia="Palatino Linotype" w:hAnsi="Palatino Linotype" w:cs="Palatino Linotype"/>
          <w:sz w:val="2"/>
          <w:szCs w:val="2"/>
        </w:rPr>
        <w:pict>
          <v:group id="_x0000_s1051" style="width:144.65pt;height:.6pt;mso-position-horizontal-relative:char;mso-position-vertical-relative:line" coordsize="2893,12">
            <v:group id="_x0000_s1052" style="position:absolute;left:6;top:6;width:2881;height:2" coordorigin="6,6" coordsize="2881,2">
              <v:shape id="_x0000_s1053" style="position:absolute;left:6;top:6;width:2881;height:2" coordorigin="6,6" coordsize="2881,0" path="m6,6r2880,e" filled="f" strokeweight=".6pt">
                <v:path arrowok="t"/>
              </v:shape>
            </v:group>
            <w10:wrap type="none"/>
            <w10:anchorlock/>
          </v:group>
        </w:pict>
      </w:r>
    </w:p>
    <w:p w:rsidR="002A1594" w:rsidRDefault="002A1594">
      <w:pPr>
        <w:spacing w:before="2"/>
        <w:rPr>
          <w:rFonts w:ascii="Palatino Linotype" w:eastAsia="Palatino Linotype" w:hAnsi="Palatino Linotype" w:cs="Palatino Linotype"/>
          <w:sz w:val="5"/>
          <w:szCs w:val="5"/>
        </w:rPr>
      </w:pPr>
    </w:p>
    <w:p w:rsidR="002A1594" w:rsidRDefault="00073D1D">
      <w:pPr>
        <w:spacing w:before="33"/>
        <w:ind w:left="108" w:right="64"/>
        <w:rPr>
          <w:rFonts w:ascii="Palatino Linotype" w:eastAsia="Palatino Linotype" w:hAnsi="Palatino Linotype" w:cs="Palatino Linotype"/>
          <w:sz w:val="21"/>
          <w:szCs w:val="21"/>
        </w:rPr>
      </w:pPr>
      <w:r>
        <w:rPr>
          <w:rFonts w:ascii="Palatino Linotype" w:eastAsia="Palatino Linotype" w:hAnsi="Palatino Linotype" w:cs="Palatino Linotype"/>
          <w:position w:val="6"/>
          <w:sz w:val="13"/>
          <w:szCs w:val="13"/>
        </w:rPr>
        <w:t xml:space="preserve">10 </w:t>
      </w:r>
      <w:r>
        <w:rPr>
          <w:rFonts w:ascii="Palatino Linotype" w:eastAsia="Palatino Linotype" w:hAnsi="Palatino Linotype" w:cs="Palatino Linotype"/>
          <w:sz w:val="21"/>
          <w:szCs w:val="21"/>
        </w:rPr>
        <w:t xml:space="preserve">Because “backpay” and “interest on backpay” are excluded from “compensatory damages” under 42 U.S.C. § </w:t>
      </w:r>
      <w:proofErr w:type="gramStart"/>
      <w:r>
        <w:rPr>
          <w:rFonts w:ascii="Palatino Linotype" w:eastAsia="Palatino Linotype" w:hAnsi="Palatino Linotype" w:cs="Palatino Linotype"/>
          <w:sz w:val="21"/>
          <w:szCs w:val="21"/>
        </w:rPr>
        <w:t>1981a(</w:t>
      </w:r>
      <w:proofErr w:type="gramEnd"/>
      <w:r>
        <w:rPr>
          <w:rFonts w:ascii="Palatino Linotype" w:eastAsia="Palatino Linotype" w:hAnsi="Palatino Linotype" w:cs="Palatino Linotype"/>
          <w:sz w:val="21"/>
          <w:szCs w:val="21"/>
        </w:rPr>
        <w:t>b)(2),  such awards do not count against the applicable</w:t>
      </w:r>
      <w:r>
        <w:rPr>
          <w:rFonts w:ascii="Palatino Linotype" w:eastAsia="Palatino Linotype" w:hAnsi="Palatino Linotype" w:cs="Palatino Linotype"/>
          <w:spacing w:val="-17"/>
          <w:sz w:val="21"/>
          <w:szCs w:val="21"/>
        </w:rPr>
        <w:t xml:space="preserve"> </w:t>
      </w:r>
      <w:r>
        <w:rPr>
          <w:rFonts w:ascii="Palatino Linotype" w:eastAsia="Palatino Linotype" w:hAnsi="Palatino Linotype" w:cs="Palatino Linotype"/>
          <w:sz w:val="21"/>
          <w:szCs w:val="21"/>
        </w:rPr>
        <w:t>cap.</w:t>
      </w:r>
    </w:p>
    <w:p w:rsidR="002A1594" w:rsidRDefault="002A1594">
      <w:pPr>
        <w:spacing w:before="12"/>
        <w:rPr>
          <w:rFonts w:ascii="Palatino Linotype" w:eastAsia="Palatino Linotype" w:hAnsi="Palatino Linotype" w:cs="Palatino Linotype"/>
          <w:sz w:val="19"/>
          <w:szCs w:val="19"/>
        </w:rPr>
      </w:pPr>
    </w:p>
    <w:p w:rsidR="002A1594" w:rsidRDefault="00073D1D">
      <w:pPr>
        <w:pStyle w:val="BodyText"/>
        <w:ind w:left="4371" w:right="4369"/>
        <w:jc w:val="center"/>
      </w:pPr>
      <w:r>
        <w:t>37</w:t>
      </w:r>
    </w:p>
    <w:p w:rsidR="002A1594" w:rsidRDefault="002A1594">
      <w:pPr>
        <w:jc w:val="center"/>
        <w:sectPr w:rsidR="002A1594">
          <w:pgSz w:w="12240" w:h="15840"/>
          <w:pgMar w:top="540" w:right="162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98" w:firstLine="719"/>
        <w:jc w:val="both"/>
      </w:pPr>
      <w:r>
        <w:t xml:space="preserve">The EEOC maintains that it can recover punitive damages for each applicant who was subjected to an illegal pre-offer medical examination or </w:t>
      </w:r>
      <w:r>
        <w:rPr>
          <w:spacing w:val="-4"/>
        </w:rPr>
        <w:t xml:space="preserve">inquiry. </w:t>
      </w:r>
      <w:proofErr w:type="gramStart"/>
      <w:r>
        <w:t>(ECF No. 114 at 17- 18).</w:t>
      </w:r>
      <w:proofErr w:type="gramEnd"/>
      <w:r>
        <w:t xml:space="preserve"> This position appears to be predicated on a belief that an individual who </w:t>
      </w:r>
      <w:proofErr w:type="gramStart"/>
      <w:r>
        <w:t>is  unla</w:t>
      </w:r>
      <w:r>
        <w:t>wfully</w:t>
      </w:r>
      <w:proofErr w:type="gramEnd"/>
      <w:r>
        <w:t xml:space="preserve"> subjected to such an e</w:t>
      </w:r>
      <w:r>
        <w:rPr>
          <w:rFonts w:cs="Palatino Linotype"/>
        </w:rPr>
        <w:t xml:space="preserve">xamination or inquiry need not suffer “actual harm” in </w:t>
      </w:r>
      <w:r>
        <w:t xml:space="preserve">order to recover punitive damages. </w:t>
      </w:r>
      <w:proofErr w:type="gramStart"/>
      <w:r>
        <w:t>(</w:t>
      </w:r>
      <w:r>
        <w:rPr>
          <w:rFonts w:cs="Palatino Linotype"/>
          <w:i/>
        </w:rPr>
        <w:t xml:space="preserve">Id. </w:t>
      </w:r>
      <w:r>
        <w:t>at 17).</w:t>
      </w:r>
      <w:proofErr w:type="gramEnd"/>
      <w:r>
        <w:t xml:space="preserve"> In </w:t>
      </w:r>
      <w:r>
        <w:rPr>
          <w:rFonts w:cs="Palatino Linotype"/>
          <w:i/>
        </w:rPr>
        <w:t xml:space="preserve">Armstrong </w:t>
      </w:r>
      <w:r>
        <w:rPr>
          <w:rFonts w:cs="Palatino Linotype"/>
          <w:i/>
          <w:spacing w:val="-6"/>
        </w:rPr>
        <w:t xml:space="preserve">v. </w:t>
      </w:r>
      <w:r>
        <w:rPr>
          <w:rFonts w:cs="Palatino Linotype"/>
          <w:i/>
          <w:spacing w:val="-5"/>
        </w:rPr>
        <w:t xml:space="preserve">Turner </w:t>
      </w:r>
      <w:r>
        <w:rPr>
          <w:rFonts w:cs="Palatino Linotype"/>
          <w:i/>
        </w:rPr>
        <w:t>Indus., Inc.</w:t>
      </w:r>
      <w:r>
        <w:t xml:space="preserve">, 141 </w:t>
      </w:r>
      <w:r>
        <w:rPr>
          <w:spacing w:val="-5"/>
        </w:rPr>
        <w:t xml:space="preserve">F.3d </w:t>
      </w:r>
      <w:r>
        <w:t xml:space="preserve">554, 562 (5th </w:t>
      </w:r>
      <w:r>
        <w:rPr>
          <w:spacing w:val="-4"/>
        </w:rPr>
        <w:t xml:space="preserve">Cir. </w:t>
      </w:r>
      <w:r>
        <w:t>1998), the Fifth Circuit held that a plaintiff seeking mone</w:t>
      </w:r>
      <w:r>
        <w:t xml:space="preserve">tary relief for an improper </w:t>
      </w:r>
      <w:r>
        <w:rPr>
          <w:rFonts w:cs="Palatino Linotype"/>
        </w:rPr>
        <w:t>medical examination or inquiry must demonstrate “somethi</w:t>
      </w:r>
      <w:r>
        <w:t>ng more than a mere violation</w:t>
      </w:r>
      <w:r>
        <w:rPr>
          <w:rFonts w:cs="Palatino Linotype"/>
        </w:rPr>
        <w:t xml:space="preserve">” </w:t>
      </w:r>
      <w:r>
        <w:t xml:space="preserve">of § 12112(d). The Fifth Circuit went on to explain that a monetary award </w:t>
      </w:r>
      <w:r>
        <w:rPr>
          <w:rFonts w:cs="Palatino Linotype"/>
        </w:rPr>
        <w:t xml:space="preserve">under § 12112(d) must be premised on “a cognizable and compensable </w:t>
      </w:r>
      <w:r>
        <w:rPr>
          <w:rFonts w:cs="Palatino Linotype"/>
        </w:rPr>
        <w:t xml:space="preserve">injury arising out </w:t>
      </w:r>
      <w:r>
        <w:t xml:space="preserve">of the </w:t>
      </w:r>
      <w:r>
        <w:rPr>
          <w:rFonts w:cs="Palatino Linotype"/>
        </w:rPr>
        <w:t xml:space="preserve">medical examination [or] </w:t>
      </w:r>
      <w:r>
        <w:rPr>
          <w:rFonts w:cs="Palatino Linotype"/>
          <w:spacing w:val="-4"/>
        </w:rPr>
        <w:t xml:space="preserve">inquiry.” </w:t>
      </w:r>
      <w:r>
        <w:rPr>
          <w:rFonts w:cs="Palatino Linotype"/>
          <w:i/>
        </w:rPr>
        <w:t>Armstrong</w:t>
      </w:r>
      <w:r>
        <w:t xml:space="preserve">, </w:t>
      </w:r>
      <w:proofErr w:type="gramStart"/>
      <w:r>
        <w:t xml:space="preserve">141 </w:t>
      </w:r>
      <w:r>
        <w:rPr>
          <w:spacing w:val="-4"/>
        </w:rPr>
        <w:t xml:space="preserve">F.3d </w:t>
      </w:r>
      <w:r>
        <w:t>at 562</w:t>
      </w:r>
      <w:proofErr w:type="gramEnd"/>
      <w:r>
        <w:t xml:space="preserve">. The reasoning employed in </w:t>
      </w:r>
      <w:r>
        <w:rPr>
          <w:rFonts w:cs="Palatino Linotype"/>
          <w:i/>
        </w:rPr>
        <w:t xml:space="preserve">Armstrong </w:t>
      </w:r>
      <w:r>
        <w:t xml:space="preserve">was adopted by the Third Circuit in </w:t>
      </w:r>
      <w:r>
        <w:rPr>
          <w:rFonts w:cs="Palatino Linotype"/>
          <w:i/>
          <w:spacing w:val="-4"/>
        </w:rPr>
        <w:t>Tice</w:t>
      </w:r>
      <w:r>
        <w:rPr>
          <w:spacing w:val="-4"/>
        </w:rPr>
        <w:t xml:space="preserve">. </w:t>
      </w:r>
      <w:r>
        <w:rPr>
          <w:rFonts w:cs="Palatino Linotype"/>
          <w:i/>
          <w:spacing w:val="-3"/>
        </w:rPr>
        <w:t>Tice</w:t>
      </w:r>
      <w:r>
        <w:rPr>
          <w:spacing w:val="-3"/>
        </w:rPr>
        <w:t xml:space="preserve">, </w:t>
      </w:r>
      <w:proofErr w:type="gramStart"/>
      <w:r>
        <w:t xml:space="preserve">247 </w:t>
      </w:r>
      <w:r>
        <w:rPr>
          <w:spacing w:val="-4"/>
        </w:rPr>
        <w:t xml:space="preserve">F.3d </w:t>
      </w:r>
      <w:r>
        <w:t>at 520</w:t>
      </w:r>
      <w:proofErr w:type="gramEnd"/>
      <w:r>
        <w:t>. Nevertheless, the Third Circuit expressly limited its holding by c</w:t>
      </w:r>
      <w:r>
        <w:t xml:space="preserve">larifying that it was not </w:t>
      </w:r>
      <w:r>
        <w:rPr>
          <w:rFonts w:cs="Palatino Linotype"/>
        </w:rPr>
        <w:t xml:space="preserve">defining the type of “injury” that a plaintiff must show to recover money damages. </w:t>
      </w:r>
      <w:r>
        <w:rPr>
          <w:rFonts w:cs="Palatino Linotype"/>
          <w:i/>
        </w:rPr>
        <w:t xml:space="preserve">Id. </w:t>
      </w:r>
      <w:r>
        <w:t>at 520 n.</w:t>
      </w:r>
      <w:r>
        <w:rPr>
          <w:rFonts w:cs="Palatino Linotype"/>
        </w:rPr>
        <w:t xml:space="preserve">12 </w:t>
      </w:r>
      <w:r>
        <w:rPr>
          <w:rFonts w:cs="Palatino Linotype"/>
          <w:spacing w:val="-5"/>
        </w:rPr>
        <w:t xml:space="preserve">(“We </w:t>
      </w:r>
      <w:r>
        <w:rPr>
          <w:rFonts w:cs="Palatino Linotype"/>
        </w:rPr>
        <w:t xml:space="preserve">do not reach any conclusion with respect to the correctness of these courts’ </w:t>
      </w:r>
      <w:r>
        <w:t>determinations as to whether the plaintiffs in th</w:t>
      </w:r>
      <w:r>
        <w:t xml:space="preserve">ose cases alleged the existence of a </w:t>
      </w:r>
      <w:r>
        <w:rPr>
          <w:rFonts w:cs="Palatino Linotype"/>
        </w:rPr>
        <w:t xml:space="preserve">redressable ‘injury’ within the meaning of the ADA; </w:t>
      </w:r>
      <w:r>
        <w:rPr>
          <w:rFonts w:cs="Palatino Linotype"/>
          <w:spacing w:val="-4"/>
        </w:rPr>
        <w:t xml:space="preserve">we </w:t>
      </w:r>
      <w:r>
        <w:rPr>
          <w:rFonts w:cs="Palatino Linotype"/>
        </w:rPr>
        <w:t xml:space="preserve">merely agree that in the </w:t>
      </w:r>
      <w:proofErr w:type="gramStart"/>
      <w:r>
        <w:rPr>
          <w:rFonts w:cs="Palatino Linotype"/>
        </w:rPr>
        <w:t xml:space="preserve">absence  </w:t>
      </w:r>
      <w:r>
        <w:t>of</w:t>
      </w:r>
      <w:proofErr w:type="gramEnd"/>
      <w:r>
        <w:t xml:space="preserve"> injury</w:t>
      </w:r>
      <w:r>
        <w:rPr>
          <w:rFonts w:cs="Palatino Linotype"/>
        </w:rPr>
        <w:t>—</w:t>
      </w:r>
      <w:r>
        <w:t>however defined</w:t>
      </w:r>
      <w:r>
        <w:rPr>
          <w:rFonts w:cs="Palatino Linotype"/>
        </w:rPr>
        <w:t>—no claim can lie for a violation of §</w:t>
      </w:r>
      <w:r>
        <w:rPr>
          <w:rFonts w:cs="Palatino Linotype"/>
          <w:spacing w:val="-23"/>
        </w:rPr>
        <w:t xml:space="preserve"> </w:t>
      </w:r>
      <w:r>
        <w:rPr>
          <w:rFonts w:cs="Palatino Linotype"/>
        </w:rPr>
        <w:t>12112(d).”</w:t>
      </w:r>
      <w:r>
        <w:t>).</w:t>
      </w:r>
    </w:p>
    <w:p w:rsidR="002A1594" w:rsidRDefault="00073D1D">
      <w:pPr>
        <w:pStyle w:val="BodyText"/>
        <w:spacing w:before="1" w:line="480" w:lineRule="auto"/>
        <w:ind w:right="103" w:firstLine="719"/>
        <w:jc w:val="both"/>
      </w:pPr>
      <w:r>
        <w:t xml:space="preserve">As discussed earlier, </w:t>
      </w:r>
      <w:r>
        <w:rPr>
          <w:i/>
          <w:spacing w:val="-5"/>
        </w:rPr>
        <w:t xml:space="preserve">Tice </w:t>
      </w:r>
      <w:r>
        <w:t xml:space="preserve">involved the mere misplacement of medical records in files containing nonconfidential information. </w:t>
      </w:r>
      <w:r>
        <w:rPr>
          <w:i/>
          <w:spacing w:val="-4"/>
        </w:rPr>
        <w:t>Tice</w:t>
      </w:r>
      <w:r>
        <w:rPr>
          <w:spacing w:val="-4"/>
        </w:rPr>
        <w:t xml:space="preserve">, </w:t>
      </w:r>
      <w:proofErr w:type="gramStart"/>
      <w:r>
        <w:t xml:space="preserve">247 </w:t>
      </w:r>
      <w:r>
        <w:rPr>
          <w:spacing w:val="-4"/>
        </w:rPr>
        <w:t xml:space="preserve">F.3d </w:t>
      </w:r>
      <w:r>
        <w:t>at 519</w:t>
      </w:r>
      <w:proofErr w:type="gramEnd"/>
      <w:r>
        <w:t xml:space="preserve">. </w:t>
      </w:r>
      <w:proofErr w:type="gramStart"/>
      <w:r>
        <w:rPr>
          <w:spacing w:val="-2"/>
        </w:rPr>
        <w:t xml:space="preserve">The  </w:t>
      </w:r>
      <w:r>
        <w:t>plaintiff</w:t>
      </w:r>
      <w:proofErr w:type="gramEnd"/>
      <w:r>
        <w:t xml:space="preserve"> in  that  case could not even establish that someone had improperly viewed his medical records.  </w:t>
      </w:r>
      <w:proofErr w:type="gramStart"/>
      <w:r>
        <w:rPr>
          <w:i/>
        </w:rPr>
        <w:t xml:space="preserve">Id. </w:t>
      </w:r>
      <w:r>
        <w:t>at 520.</w:t>
      </w:r>
      <w:proofErr w:type="gramEnd"/>
      <w:r>
        <w:t xml:space="preserve"> The instan</w:t>
      </w:r>
      <w:r>
        <w:t xml:space="preserve">t case is distinguishable from </w:t>
      </w:r>
      <w:r>
        <w:rPr>
          <w:i/>
          <w:spacing w:val="-4"/>
        </w:rPr>
        <w:t xml:space="preserve">Tice </w:t>
      </w:r>
      <w:r>
        <w:t xml:space="preserve">because the LCNRC employees </w:t>
      </w:r>
      <w:proofErr w:type="gramStart"/>
      <w:r>
        <w:t>seeking  employment</w:t>
      </w:r>
      <w:proofErr w:type="gramEnd"/>
      <w:r>
        <w:t xml:space="preserve">  with   the   CCC  were   subjected  to  searching  examinations  </w:t>
      </w:r>
      <w:r>
        <w:rPr>
          <w:spacing w:val="49"/>
        </w:rPr>
        <w:t xml:space="preserve"> </w:t>
      </w:r>
      <w:r>
        <w:t>and</w:t>
      </w:r>
    </w:p>
    <w:p w:rsidR="002A1594" w:rsidRDefault="00073D1D">
      <w:pPr>
        <w:pStyle w:val="BodyText"/>
        <w:ind w:left="4371" w:right="4369"/>
        <w:jc w:val="center"/>
      </w:pPr>
      <w:r>
        <w:t>38</w:t>
      </w:r>
    </w:p>
    <w:p w:rsidR="002A1594" w:rsidRDefault="002A1594">
      <w:pPr>
        <w:jc w:val="center"/>
        <w:sectPr w:rsidR="002A1594">
          <w:pgSz w:w="12240" w:h="15840"/>
          <w:pgMar w:top="540" w:right="162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102"/>
        <w:jc w:val="both"/>
      </w:pPr>
      <w:proofErr w:type="gramStart"/>
      <w:r>
        <w:t>inquiries</w:t>
      </w:r>
      <w:proofErr w:type="gramEnd"/>
      <w:r>
        <w:t xml:space="preserve"> at a time when hiring decisions were being made. It is at least arguabl</w:t>
      </w:r>
      <w:r>
        <w:t xml:space="preserve">e that the </w:t>
      </w:r>
      <w:r>
        <w:rPr>
          <w:rFonts w:cs="Palatino Linotype"/>
        </w:rPr>
        <w:t xml:space="preserve">“inconvenience” of undergoing an unlawful medical examination </w:t>
      </w:r>
      <w:r>
        <w:t xml:space="preserve">can constitute an </w:t>
      </w:r>
      <w:r>
        <w:rPr>
          <w:rFonts w:cs="Palatino Linotype"/>
        </w:rPr>
        <w:t xml:space="preserve">“injury” sufficient to render an offending employer liable in damages. 42 U.S.C. § </w:t>
      </w:r>
      <w:proofErr w:type="gramStart"/>
      <w:r>
        <w:t>1981a(</w:t>
      </w:r>
      <w:proofErr w:type="gramEnd"/>
      <w:r>
        <w:t>b)(3).</w:t>
      </w:r>
    </w:p>
    <w:p w:rsidR="002A1594" w:rsidRDefault="00073D1D">
      <w:pPr>
        <w:pStyle w:val="BodyText"/>
        <w:spacing w:before="0" w:line="480" w:lineRule="auto"/>
        <w:ind w:right="101" w:firstLine="719"/>
        <w:jc w:val="both"/>
        <w:rPr>
          <w:rFonts w:cs="Palatino Linotype"/>
        </w:rPr>
      </w:pPr>
      <w:r>
        <w:t xml:space="preserve">In any event, the holding in </w:t>
      </w:r>
      <w:r>
        <w:rPr>
          <w:rFonts w:cs="Palatino Linotype"/>
          <w:i/>
          <w:spacing w:val="-5"/>
        </w:rPr>
        <w:t xml:space="preserve">Tice </w:t>
      </w:r>
      <w:r>
        <w:t>simply does not speak to the questi</w:t>
      </w:r>
      <w:r>
        <w:t xml:space="preserve">on of when a plaintiff can recover punitive damages for a violation of § 12112(d). A plaintiff seeking </w:t>
      </w:r>
      <w:r>
        <w:rPr>
          <w:rFonts w:cs="Palatino Linotype"/>
        </w:rPr>
        <w:t xml:space="preserve">punitive damages under Title I must demonstrate that the offending employer “engaged </w:t>
      </w:r>
      <w:r>
        <w:t>in a discriminatory practice or discriminatory practices with malice</w:t>
      </w:r>
      <w:r>
        <w:t xml:space="preserve"> or with reckless indifference to [his or her] federally protected rights</w:t>
      </w:r>
      <w:r>
        <w:rPr>
          <w:rFonts w:cs="Palatino Linotype"/>
        </w:rPr>
        <w:t xml:space="preserve">.”  42 U.S.C. § </w:t>
      </w:r>
      <w:proofErr w:type="gramStart"/>
      <w:r>
        <w:rPr>
          <w:rFonts w:cs="Palatino Linotype"/>
        </w:rPr>
        <w:t>1981a(</w:t>
      </w:r>
      <w:proofErr w:type="gramEnd"/>
      <w:r>
        <w:rPr>
          <w:rFonts w:cs="Palatino Linotype"/>
        </w:rPr>
        <w:t xml:space="preserve">b)(1).  </w:t>
      </w:r>
      <w:r>
        <w:t xml:space="preserve">In  </w:t>
      </w:r>
      <w:r>
        <w:rPr>
          <w:spacing w:val="45"/>
        </w:rPr>
        <w:t xml:space="preserve"> </w:t>
      </w:r>
      <w:r>
        <w:rPr>
          <w:rFonts w:cs="Palatino Linotype"/>
          <w:i/>
        </w:rPr>
        <w:t>Kolstad</w:t>
      </w:r>
    </w:p>
    <w:p w:rsidR="002A1594" w:rsidRDefault="00073D1D">
      <w:pPr>
        <w:pStyle w:val="BodyText"/>
        <w:spacing w:before="0" w:line="480" w:lineRule="auto"/>
        <w:ind w:right="101"/>
        <w:jc w:val="both"/>
      </w:pPr>
      <w:proofErr w:type="gramStart"/>
      <w:r>
        <w:rPr>
          <w:rFonts w:cs="Palatino Linotype"/>
          <w:i/>
          <w:spacing w:val="-6"/>
        </w:rPr>
        <w:t xml:space="preserve">v. </w:t>
      </w:r>
      <w:r>
        <w:rPr>
          <w:rFonts w:cs="Palatino Linotype"/>
          <w:i/>
        </w:rPr>
        <w:t>American</w:t>
      </w:r>
      <w:proofErr w:type="gramEnd"/>
      <w:r>
        <w:rPr>
          <w:rFonts w:cs="Palatino Linotype"/>
          <w:i/>
        </w:rPr>
        <w:t xml:space="preserve"> Dental Association</w:t>
      </w:r>
      <w:r>
        <w:t xml:space="preserve">, 527 U.S. 526, 536 (1999), the Supreme Court construed this </w:t>
      </w:r>
      <w:r>
        <w:rPr>
          <w:rFonts w:cs="Palatino Linotype"/>
        </w:rPr>
        <w:t xml:space="preserve">language to mean that a covered employer must “discriminate in the face of a perceived </w:t>
      </w:r>
      <w:r>
        <w:t>risk that its actions will violate fe</w:t>
      </w:r>
      <w:r>
        <w:rPr>
          <w:rFonts w:cs="Palatino Linotype"/>
        </w:rPr>
        <w:t>deral law” in order to b</w:t>
      </w:r>
      <w:r>
        <w:t xml:space="preserve">e liable for punitive damages. </w:t>
      </w:r>
      <w:r>
        <w:rPr>
          <w:rFonts w:cs="Palatino Linotype"/>
        </w:rPr>
        <w:t xml:space="preserve">This standard focuses on an employer’s subjective state of mind. </w:t>
      </w:r>
      <w:r>
        <w:rPr>
          <w:rFonts w:cs="Palatino Linotype"/>
          <w:i/>
        </w:rPr>
        <w:t xml:space="preserve">Gagliardo </w:t>
      </w:r>
      <w:r>
        <w:rPr>
          <w:rFonts w:cs="Palatino Linotype"/>
          <w:i/>
          <w:spacing w:val="-6"/>
        </w:rPr>
        <w:t>v.</w:t>
      </w:r>
      <w:r>
        <w:rPr>
          <w:rFonts w:cs="Palatino Linotype"/>
          <w:i/>
          <w:spacing w:val="-6"/>
        </w:rPr>
        <w:t xml:space="preserve"> </w:t>
      </w:r>
      <w:r>
        <w:rPr>
          <w:rFonts w:cs="Palatino Linotype"/>
          <w:i/>
        </w:rPr>
        <w:t xml:space="preserve">Connaught </w:t>
      </w:r>
      <w:proofErr w:type="gramStart"/>
      <w:r>
        <w:rPr>
          <w:rFonts w:cs="Palatino Linotype"/>
          <w:i/>
        </w:rPr>
        <w:t>Labs.,</w:t>
      </w:r>
      <w:proofErr w:type="gramEnd"/>
      <w:r>
        <w:rPr>
          <w:rFonts w:cs="Palatino Linotype"/>
          <w:i/>
        </w:rPr>
        <w:t xml:space="preserve"> Inc.</w:t>
      </w:r>
      <w:r>
        <w:t xml:space="preserve">, 311 </w:t>
      </w:r>
      <w:r>
        <w:rPr>
          <w:spacing w:val="-4"/>
        </w:rPr>
        <w:t xml:space="preserve">F.3d </w:t>
      </w:r>
      <w:r>
        <w:t xml:space="preserve">565, 573 (3d </w:t>
      </w:r>
      <w:r>
        <w:rPr>
          <w:spacing w:val="-4"/>
        </w:rPr>
        <w:t xml:space="preserve">Cir. </w:t>
      </w:r>
      <w:r>
        <w:t>2002</w:t>
      </w:r>
      <w:r>
        <w:rPr>
          <w:rFonts w:cs="Palatino Linotype"/>
        </w:rPr>
        <w:t xml:space="preserve">). The terms “malice” and “reckless indifference” </w:t>
      </w:r>
      <w:r>
        <w:t>pertain not mere</w:t>
      </w:r>
      <w:r>
        <w:rPr>
          <w:rFonts w:cs="Palatino Linotype"/>
        </w:rPr>
        <w:t xml:space="preserve">ly to an employer’s awareness of its own discriminatory conduct, but </w:t>
      </w:r>
      <w:proofErr w:type="gramStart"/>
      <w:r>
        <w:rPr>
          <w:rFonts w:cs="Palatino Linotype"/>
        </w:rPr>
        <w:t>rather  to</w:t>
      </w:r>
      <w:proofErr w:type="gramEnd"/>
      <w:r>
        <w:rPr>
          <w:rFonts w:cs="Palatino Linotype"/>
        </w:rPr>
        <w:t xml:space="preserve"> its “knowledge  that  it  may be  acting in violation  </w:t>
      </w:r>
      <w:r>
        <w:rPr>
          <w:rFonts w:cs="Palatino Linotype"/>
        </w:rPr>
        <w:t xml:space="preserve">of federal </w:t>
      </w:r>
      <w:r>
        <w:rPr>
          <w:rFonts w:cs="Palatino Linotype"/>
          <w:spacing w:val="-5"/>
        </w:rPr>
        <w:t xml:space="preserve">law.”   </w:t>
      </w:r>
      <w:r>
        <w:rPr>
          <w:rFonts w:cs="Palatino Linotype"/>
          <w:i/>
        </w:rPr>
        <w:t>Kolstad</w:t>
      </w:r>
      <w:proofErr w:type="gramStart"/>
      <w:r>
        <w:t xml:space="preserve">, </w:t>
      </w:r>
      <w:r>
        <w:rPr>
          <w:spacing w:val="6"/>
        </w:rPr>
        <w:t xml:space="preserve"> </w:t>
      </w:r>
      <w:r>
        <w:t>527</w:t>
      </w:r>
      <w:proofErr w:type="gramEnd"/>
    </w:p>
    <w:p w:rsidR="002A1594" w:rsidRDefault="00073D1D">
      <w:pPr>
        <w:pStyle w:val="BodyText"/>
        <w:spacing w:before="0" w:line="480" w:lineRule="auto"/>
        <w:ind w:right="102"/>
        <w:jc w:val="both"/>
      </w:pPr>
      <w:proofErr w:type="gramStart"/>
      <w:r>
        <w:t>U.S. at 535.</w:t>
      </w:r>
      <w:proofErr w:type="gramEnd"/>
      <w:r>
        <w:t xml:space="preserve"> A covered entity is not liable for punitive damages if it is unaware of the federal law giving rise to the pl</w:t>
      </w:r>
      <w:r>
        <w:rPr>
          <w:rFonts w:cs="Palatino Linotype"/>
        </w:rPr>
        <w:t xml:space="preserve">aintiff’s cause of action, or if it </w:t>
      </w:r>
      <w:r>
        <w:t xml:space="preserve">honestly believes the unlawful conduct to be permissible. </w:t>
      </w:r>
      <w:proofErr w:type="gramStart"/>
      <w:r>
        <w:rPr>
          <w:rFonts w:cs="Palatino Linotype"/>
          <w:i/>
        </w:rPr>
        <w:t>Alexand</w:t>
      </w:r>
      <w:r>
        <w:rPr>
          <w:rFonts w:cs="Palatino Linotype"/>
          <w:i/>
        </w:rPr>
        <w:t xml:space="preserve">er </w:t>
      </w:r>
      <w:r>
        <w:rPr>
          <w:rFonts w:cs="Palatino Linotype"/>
          <w:i/>
          <w:spacing w:val="-6"/>
        </w:rPr>
        <w:t xml:space="preserve">v. </w:t>
      </w:r>
      <w:r>
        <w:rPr>
          <w:rFonts w:cs="Palatino Linotype"/>
          <w:i/>
        </w:rPr>
        <w:t>Riga</w:t>
      </w:r>
      <w:r>
        <w:t xml:space="preserve">, 208 </w:t>
      </w:r>
      <w:r>
        <w:rPr>
          <w:spacing w:val="-4"/>
        </w:rPr>
        <w:t xml:space="preserve">F.3d </w:t>
      </w:r>
      <w:r>
        <w:t xml:space="preserve">419, 432 (3d </w:t>
      </w:r>
      <w:r>
        <w:rPr>
          <w:spacing w:val="-4"/>
        </w:rPr>
        <w:t xml:space="preserve">Cir. </w:t>
      </w:r>
      <w:r>
        <w:t>2000).</w:t>
      </w:r>
      <w:proofErr w:type="gramEnd"/>
      <w:r>
        <w:t xml:space="preserve"> In </w:t>
      </w:r>
      <w:r>
        <w:rPr>
          <w:rFonts w:cs="Palatino Linotype"/>
          <w:i/>
          <w:spacing w:val="-3"/>
        </w:rPr>
        <w:t>Tice</w:t>
      </w:r>
      <w:r>
        <w:rPr>
          <w:spacing w:val="-3"/>
        </w:rPr>
        <w:t xml:space="preserve">, </w:t>
      </w:r>
      <w:r>
        <w:t xml:space="preserve">there </w:t>
      </w:r>
      <w:r>
        <w:rPr>
          <w:spacing w:val="-3"/>
        </w:rPr>
        <w:t xml:space="preserve">was </w:t>
      </w:r>
      <w:r>
        <w:t xml:space="preserve">no allegation that the covered employer had consciously perceived a risk that it was violating the ADA by commingling confidential medical records with other documents.  </w:t>
      </w:r>
      <w:r>
        <w:rPr>
          <w:rFonts w:cs="Palatino Linotype"/>
          <w:i/>
          <w:spacing w:val="-3"/>
        </w:rPr>
        <w:t>Tice</w:t>
      </w:r>
      <w:r>
        <w:rPr>
          <w:spacing w:val="-3"/>
        </w:rPr>
        <w:t xml:space="preserve">, </w:t>
      </w:r>
      <w:proofErr w:type="gramStart"/>
      <w:r>
        <w:t xml:space="preserve">247 </w:t>
      </w:r>
      <w:r>
        <w:rPr>
          <w:spacing w:val="-5"/>
        </w:rPr>
        <w:t xml:space="preserve">F.3d </w:t>
      </w:r>
      <w:r>
        <w:t>at 519</w:t>
      </w:r>
      <w:r>
        <w:t>-20</w:t>
      </w:r>
      <w:proofErr w:type="gramEnd"/>
      <w:r>
        <w:t xml:space="preserve">.  The Court of Appeals </w:t>
      </w:r>
      <w:r>
        <w:rPr>
          <w:spacing w:val="-3"/>
        </w:rPr>
        <w:t xml:space="preserve">was </w:t>
      </w:r>
      <w:r>
        <w:t>simply not presented</w:t>
      </w:r>
      <w:r>
        <w:rPr>
          <w:spacing w:val="38"/>
        </w:rPr>
        <w:t xml:space="preserve"> </w:t>
      </w:r>
      <w:r>
        <w:t>with</w:t>
      </w:r>
    </w:p>
    <w:p w:rsidR="002A1594" w:rsidRDefault="00073D1D">
      <w:pPr>
        <w:pStyle w:val="BodyText"/>
        <w:ind w:left="4371" w:right="4369"/>
        <w:jc w:val="center"/>
      </w:pPr>
      <w:r>
        <w:t>39</w:t>
      </w:r>
    </w:p>
    <w:p w:rsidR="002A1594" w:rsidRDefault="002A1594">
      <w:pPr>
        <w:jc w:val="center"/>
        <w:sectPr w:rsidR="002A1594">
          <w:pgSz w:w="12240" w:h="15840"/>
          <w:pgMar w:top="540" w:right="162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102"/>
        <w:jc w:val="both"/>
      </w:pPr>
      <w:proofErr w:type="gramStart"/>
      <w:r>
        <w:t>a</w:t>
      </w:r>
      <w:proofErr w:type="gramEnd"/>
      <w:r>
        <w:t xml:space="preserve"> situation involving a plaintiff with no compensable injury who could  nevertheless satisfy the </w:t>
      </w:r>
      <w:r>
        <w:rPr>
          <w:rFonts w:cs="Palatino Linotype"/>
        </w:rPr>
        <w:t xml:space="preserve">“higher standard” necessary to qualify for punitive damages. </w:t>
      </w:r>
      <w:r>
        <w:rPr>
          <w:rFonts w:cs="Palatino Linotype"/>
          <w:i/>
        </w:rPr>
        <w:t>Kolstad</w:t>
      </w:r>
      <w:r>
        <w:t>, 527 U.S. at</w:t>
      </w:r>
      <w:r>
        <w:rPr>
          <w:spacing w:val="2"/>
        </w:rPr>
        <w:t xml:space="preserve"> </w:t>
      </w:r>
      <w:r>
        <w:t>534.</w:t>
      </w:r>
    </w:p>
    <w:p w:rsidR="002A1594" w:rsidRDefault="00073D1D">
      <w:pPr>
        <w:pStyle w:val="BodyText"/>
        <w:spacing w:before="0" w:line="480" w:lineRule="auto"/>
        <w:ind w:right="101" w:firstLine="719"/>
        <w:jc w:val="both"/>
        <w:rPr>
          <w:rFonts w:cs="Palatino Linotype"/>
        </w:rPr>
      </w:pPr>
      <w:r>
        <w:rPr>
          <w:rFonts w:cs="Palatino Linotype"/>
        </w:rPr>
        <w:t>“Extra</w:t>
      </w:r>
      <w:r>
        <w:t>-</w:t>
      </w:r>
      <w:r>
        <w:rPr>
          <w:rFonts w:cs="Palatino Linotype"/>
        </w:rPr>
        <w:t xml:space="preserve">statutory requirements for recovery should not be invented.” </w:t>
      </w:r>
      <w:r>
        <w:rPr>
          <w:rFonts w:cs="Palatino Linotype"/>
          <w:i/>
          <w:spacing w:val="-3"/>
        </w:rPr>
        <w:t>Timm</w:t>
      </w:r>
      <w:proofErr w:type="gramStart"/>
      <w:r>
        <w:rPr>
          <w:spacing w:val="-3"/>
        </w:rPr>
        <w:t xml:space="preserve">,  </w:t>
      </w:r>
      <w:r>
        <w:t>137</w:t>
      </w:r>
      <w:proofErr w:type="gramEnd"/>
      <w:r>
        <w:t xml:space="preserve"> </w:t>
      </w:r>
      <w:r>
        <w:rPr>
          <w:spacing w:val="-4"/>
        </w:rPr>
        <w:t xml:space="preserve">F.3d </w:t>
      </w:r>
      <w:r>
        <w:t xml:space="preserve">at 1010. </w:t>
      </w:r>
      <w:r>
        <w:rPr>
          <w:spacing w:val="-2"/>
        </w:rPr>
        <w:t xml:space="preserve">The </w:t>
      </w:r>
      <w:r>
        <w:t xml:space="preserve">statutory language does not condition an award of punitive damages on a showing of tangible harm. 42 U.S.C. § </w:t>
      </w:r>
      <w:proofErr w:type="gramStart"/>
      <w:r>
        <w:t>1981a(</w:t>
      </w:r>
      <w:proofErr w:type="gramEnd"/>
      <w:r>
        <w:t>b)(1). It is worth noting that the ter</w:t>
      </w:r>
      <w:r>
        <w:t xml:space="preserve">m </w:t>
      </w:r>
      <w:r>
        <w:rPr>
          <w:rFonts w:cs="Palatino Linotype"/>
        </w:rPr>
        <w:t xml:space="preserve">“discriminatory practice” is defined more broadly in relation to Title I than it is in relation </w:t>
      </w:r>
      <w:r>
        <w:t xml:space="preserve">to Title VII. Although the term includes </w:t>
      </w:r>
      <w:r>
        <w:rPr>
          <w:rFonts w:cs="Palatino Linotype"/>
        </w:rPr>
        <w:t>only “discrimination” in the Title VII context, it is broad enough to encompass “violations” of the ADA that might no</w:t>
      </w:r>
      <w:r>
        <w:rPr>
          <w:rFonts w:cs="Palatino Linotype"/>
        </w:rPr>
        <w:t>t c</w:t>
      </w:r>
      <w:r>
        <w:t xml:space="preserve">onstitute </w:t>
      </w:r>
      <w:r>
        <w:rPr>
          <w:rFonts w:cs="Palatino Linotype"/>
        </w:rPr>
        <w:t xml:space="preserve">“discrimination.” </w:t>
      </w:r>
      <w:r>
        <w:t xml:space="preserve">42 U.S.C. § </w:t>
      </w:r>
      <w:proofErr w:type="gramStart"/>
      <w:r>
        <w:t>1981a(</w:t>
      </w:r>
      <w:proofErr w:type="gramEnd"/>
      <w:r>
        <w:t>1)-(2), (d)(2). The breadth of this language, which specifically defines a term appearing in the portion of the statute governing awards of punitive damages, suggests that Congress intended to provide for as</w:t>
      </w:r>
      <w:r>
        <w:t xml:space="preserve">sessments of punitive </w:t>
      </w:r>
      <w:r>
        <w:rPr>
          <w:rFonts w:cs="Palatino Linotype"/>
        </w:rPr>
        <w:t xml:space="preserve">damages against employers responsible for intentionally violating Title </w:t>
      </w:r>
      <w:r>
        <w:rPr>
          <w:rFonts w:cs="Palatino Linotype"/>
          <w:spacing w:val="-8"/>
        </w:rPr>
        <w:t xml:space="preserve">I’s </w:t>
      </w:r>
      <w:r>
        <w:rPr>
          <w:rFonts w:cs="Palatino Linotype"/>
        </w:rPr>
        <w:t xml:space="preserve">prophylactic </w:t>
      </w:r>
      <w:r>
        <w:t xml:space="preserve">provisions. 42 U.S.C. § </w:t>
      </w:r>
      <w:proofErr w:type="gramStart"/>
      <w:r>
        <w:t>1981a(</w:t>
      </w:r>
      <w:proofErr w:type="gramEnd"/>
      <w:r>
        <w:t xml:space="preserve">b)(1), (d)(2). Precluding awards of punitive damages </w:t>
      </w:r>
      <w:proofErr w:type="gramStart"/>
      <w:r>
        <w:t xml:space="preserve">in  </w:t>
      </w:r>
      <w:r>
        <w:rPr>
          <w:rFonts w:cs="Palatino Linotype"/>
        </w:rPr>
        <w:t>cases</w:t>
      </w:r>
      <w:proofErr w:type="gramEnd"/>
      <w:r>
        <w:rPr>
          <w:rFonts w:cs="Palatino Linotype"/>
        </w:rPr>
        <w:t xml:space="preserve"> involving no “easily quantifiable physical and monet</w:t>
      </w:r>
      <w:r>
        <w:rPr>
          <w:rFonts w:cs="Palatino Linotype"/>
        </w:rPr>
        <w:t xml:space="preserve">ary harm would quell the deterrence that Congress intended” </w:t>
      </w:r>
      <w:r>
        <w:t xml:space="preserve">to provide when it enacted § 12112(d).  </w:t>
      </w:r>
      <w:r>
        <w:rPr>
          <w:rFonts w:cs="Palatino Linotype"/>
          <w:i/>
        </w:rPr>
        <w:t>Abner</w:t>
      </w:r>
      <w:r>
        <w:t xml:space="preserve">, </w:t>
      </w:r>
      <w:proofErr w:type="gramStart"/>
      <w:r>
        <w:t xml:space="preserve">513  </w:t>
      </w:r>
      <w:r>
        <w:rPr>
          <w:spacing w:val="-4"/>
        </w:rPr>
        <w:t>F.3d</w:t>
      </w:r>
      <w:proofErr w:type="gramEnd"/>
      <w:r>
        <w:rPr>
          <w:spacing w:val="-4"/>
        </w:rPr>
        <w:t xml:space="preserve"> </w:t>
      </w:r>
      <w:r>
        <w:t>at 163. The statuto</w:t>
      </w:r>
      <w:r>
        <w:rPr>
          <w:rFonts w:cs="Palatino Linotype"/>
        </w:rPr>
        <w:t>ry caps on damages “ensure against limitless awards in cases of insubstantial harm.”</w:t>
      </w:r>
      <w:r>
        <w:rPr>
          <w:position w:val="6"/>
          <w:sz w:val="13"/>
          <w:szCs w:val="13"/>
        </w:rPr>
        <w:t xml:space="preserve">11    </w:t>
      </w:r>
      <w:r>
        <w:rPr>
          <w:rFonts w:cs="Palatino Linotype"/>
          <w:i/>
          <w:spacing w:val="-3"/>
        </w:rPr>
        <w:t>Tisdale</w:t>
      </w:r>
      <w:r>
        <w:rPr>
          <w:spacing w:val="-3"/>
        </w:rPr>
        <w:t xml:space="preserve">, </w:t>
      </w:r>
      <w:proofErr w:type="gramStart"/>
      <w:r>
        <w:t xml:space="preserve">415 </w:t>
      </w:r>
      <w:r>
        <w:rPr>
          <w:spacing w:val="-5"/>
        </w:rPr>
        <w:t xml:space="preserve">F.3d </w:t>
      </w:r>
      <w:r>
        <w:t>at 53</w:t>
      </w:r>
      <w:r>
        <w:rPr>
          <w:rFonts w:cs="Palatino Linotype"/>
        </w:rPr>
        <w:t>4</w:t>
      </w:r>
      <w:proofErr w:type="gramEnd"/>
      <w:r>
        <w:rPr>
          <w:rFonts w:cs="Palatino Linotype"/>
        </w:rPr>
        <w:t xml:space="preserve">.  </w:t>
      </w:r>
      <w:r>
        <w:rPr>
          <w:rFonts w:cs="Palatino Linotype"/>
          <w:spacing w:val="-2"/>
        </w:rPr>
        <w:t>The</w:t>
      </w:r>
      <w:r>
        <w:rPr>
          <w:rFonts w:cs="Palatino Linotype"/>
          <w:spacing w:val="-2"/>
        </w:rPr>
        <w:t xml:space="preserve"> </w:t>
      </w:r>
      <w:r>
        <w:rPr>
          <w:rFonts w:cs="Palatino Linotype"/>
        </w:rPr>
        <w:t xml:space="preserve">“higher standard that a plaintiff  </w:t>
      </w:r>
      <w:r>
        <w:rPr>
          <w:rFonts w:cs="Palatino Linotype"/>
          <w:spacing w:val="41"/>
        </w:rPr>
        <w:t xml:space="preserve"> </w:t>
      </w:r>
      <w:r>
        <w:rPr>
          <w:rFonts w:cs="Palatino Linotype"/>
        </w:rPr>
        <w:t>must</w:t>
      </w:r>
    </w:p>
    <w:p w:rsidR="002A1594" w:rsidRDefault="002A1594">
      <w:pPr>
        <w:rPr>
          <w:rFonts w:ascii="Palatino Linotype" w:eastAsia="Palatino Linotype" w:hAnsi="Palatino Linotype" w:cs="Palatino Linotype"/>
          <w:sz w:val="21"/>
          <w:szCs w:val="21"/>
        </w:rPr>
      </w:pPr>
    </w:p>
    <w:p w:rsidR="002A1594" w:rsidRDefault="00073D1D">
      <w:pPr>
        <w:spacing w:line="20" w:lineRule="exact"/>
        <w:ind w:left="102"/>
        <w:rPr>
          <w:rFonts w:ascii="Palatino Linotype" w:eastAsia="Palatino Linotype" w:hAnsi="Palatino Linotype" w:cs="Palatino Linotype"/>
          <w:sz w:val="2"/>
          <w:szCs w:val="2"/>
        </w:rPr>
      </w:pPr>
      <w:r>
        <w:rPr>
          <w:rFonts w:ascii="Palatino Linotype" w:eastAsia="Palatino Linotype" w:hAnsi="Palatino Linotype" w:cs="Palatino Linotype"/>
          <w:sz w:val="2"/>
          <w:szCs w:val="2"/>
        </w:rPr>
      </w:r>
      <w:r>
        <w:rPr>
          <w:rFonts w:ascii="Palatino Linotype" w:eastAsia="Palatino Linotype" w:hAnsi="Palatino Linotype" w:cs="Palatino Linotype"/>
          <w:sz w:val="2"/>
          <w:szCs w:val="2"/>
        </w:rPr>
        <w:pict>
          <v:group id="_x0000_s1048" style="width:144.65pt;height:.6pt;mso-position-horizontal-relative:char;mso-position-vertical-relative:line" coordsize="2893,12">
            <v:group id="_x0000_s1049" style="position:absolute;left:6;top:6;width:2881;height:2" coordorigin="6,6" coordsize="2881,2">
              <v:shape id="_x0000_s1050" style="position:absolute;left:6;top:6;width:2881;height:2" coordorigin="6,6" coordsize="2881,0" path="m6,6r2880,e" filled="f" strokeweight=".6pt">
                <v:path arrowok="t"/>
              </v:shape>
            </v:group>
            <w10:wrap type="none"/>
            <w10:anchorlock/>
          </v:group>
        </w:pict>
      </w:r>
    </w:p>
    <w:p w:rsidR="002A1594" w:rsidRDefault="002A1594">
      <w:pPr>
        <w:spacing w:before="2"/>
        <w:rPr>
          <w:rFonts w:ascii="Palatino Linotype" w:eastAsia="Palatino Linotype" w:hAnsi="Palatino Linotype" w:cs="Palatino Linotype"/>
          <w:sz w:val="5"/>
          <w:szCs w:val="5"/>
        </w:rPr>
      </w:pPr>
    </w:p>
    <w:p w:rsidR="002A1594" w:rsidRDefault="00073D1D">
      <w:pPr>
        <w:spacing w:before="33"/>
        <w:ind w:left="108" w:right="101"/>
        <w:jc w:val="both"/>
        <w:rPr>
          <w:rFonts w:ascii="Palatino Linotype" w:eastAsia="Palatino Linotype" w:hAnsi="Palatino Linotype" w:cs="Palatino Linotype"/>
          <w:sz w:val="21"/>
          <w:szCs w:val="21"/>
        </w:rPr>
      </w:pPr>
      <w:r>
        <w:rPr>
          <w:rFonts w:ascii="Palatino Linotype" w:eastAsia="Palatino Linotype" w:hAnsi="Palatino Linotype" w:cs="Palatino Linotype"/>
          <w:position w:val="6"/>
          <w:sz w:val="13"/>
          <w:szCs w:val="13"/>
        </w:rPr>
        <w:t xml:space="preserve">11 </w:t>
      </w:r>
      <w:r>
        <w:rPr>
          <w:rFonts w:ascii="Palatino Linotype" w:eastAsia="Palatino Linotype" w:hAnsi="Palatino Linotype" w:cs="Palatino Linotype"/>
          <w:sz w:val="21"/>
          <w:szCs w:val="21"/>
        </w:rPr>
        <w:t xml:space="preserve">In cases governed by state law, the Supreme Court has held that “[t]he Due Process Clause of the Fourteenth Amendment prohibits the imposition of grossly excessive or arbitrary punishments on a tortfeasor.” </w:t>
      </w:r>
      <w:proofErr w:type="gramStart"/>
      <w:r>
        <w:rPr>
          <w:rFonts w:ascii="Palatino Linotype" w:eastAsia="Palatino Linotype" w:hAnsi="Palatino Linotype" w:cs="Palatino Linotype"/>
          <w:i/>
          <w:sz w:val="21"/>
          <w:szCs w:val="21"/>
        </w:rPr>
        <w:t>State Far</w:t>
      </w:r>
      <w:r>
        <w:rPr>
          <w:rFonts w:ascii="Palatino Linotype" w:eastAsia="Palatino Linotype" w:hAnsi="Palatino Linotype" w:cs="Palatino Linotype"/>
          <w:i/>
          <w:sz w:val="21"/>
          <w:szCs w:val="21"/>
        </w:rPr>
        <w:t>m Mutual Auto.</w:t>
      </w:r>
      <w:proofErr w:type="gramEnd"/>
      <w:r>
        <w:rPr>
          <w:rFonts w:ascii="Palatino Linotype" w:eastAsia="Palatino Linotype" w:hAnsi="Palatino Linotype" w:cs="Palatino Linotype"/>
          <w:i/>
          <w:sz w:val="21"/>
          <w:szCs w:val="21"/>
        </w:rPr>
        <w:t xml:space="preserve"> </w:t>
      </w:r>
      <w:proofErr w:type="gramStart"/>
      <w:r>
        <w:rPr>
          <w:rFonts w:ascii="Palatino Linotype" w:eastAsia="Palatino Linotype" w:hAnsi="Palatino Linotype" w:cs="Palatino Linotype"/>
          <w:i/>
          <w:sz w:val="21"/>
          <w:szCs w:val="21"/>
        </w:rPr>
        <w:t>Ins. Co. v. Campbell</w:t>
      </w:r>
      <w:r>
        <w:rPr>
          <w:rFonts w:ascii="Palatino Linotype" w:eastAsia="Palatino Linotype" w:hAnsi="Palatino Linotype" w:cs="Palatino Linotype"/>
          <w:sz w:val="21"/>
          <w:szCs w:val="21"/>
        </w:rPr>
        <w:t>, 538 U.S. 408, 416 (2003).</w:t>
      </w:r>
      <w:proofErr w:type="gramEnd"/>
      <w:r>
        <w:rPr>
          <w:rFonts w:ascii="Palatino Linotype" w:eastAsia="Palatino Linotype" w:hAnsi="Palatino Linotype" w:cs="Palatino Linotype"/>
          <w:sz w:val="21"/>
          <w:szCs w:val="21"/>
        </w:rPr>
        <w:t xml:space="preserve"> The constitutionality of an assessment of punitive damages depends, in part, on “the relationship between the penalty and the harm to the victim caused by the defendant’s actions.”   </w:t>
      </w:r>
      <w:proofErr w:type="gramStart"/>
      <w:r>
        <w:rPr>
          <w:rFonts w:ascii="Palatino Linotype" w:eastAsia="Palatino Linotype" w:hAnsi="Palatino Linotype" w:cs="Palatino Linotype"/>
          <w:i/>
          <w:sz w:val="21"/>
          <w:szCs w:val="21"/>
        </w:rPr>
        <w:t>Cooper Ind</w:t>
      </w:r>
      <w:r>
        <w:rPr>
          <w:rFonts w:ascii="Palatino Linotype" w:eastAsia="Palatino Linotype" w:hAnsi="Palatino Linotype" w:cs="Palatino Linotype"/>
          <w:i/>
          <w:sz w:val="21"/>
          <w:szCs w:val="21"/>
        </w:rPr>
        <w:t>ustries, Inc. v. Leatherman Tool Group, Inc.</w:t>
      </w:r>
      <w:r>
        <w:rPr>
          <w:rFonts w:ascii="Palatino Linotype" w:eastAsia="Palatino Linotype" w:hAnsi="Palatino Linotype" w:cs="Palatino Linotype"/>
          <w:sz w:val="21"/>
          <w:szCs w:val="21"/>
        </w:rPr>
        <w:t>, 532 U.S. 424, 435 (2001).</w:t>
      </w:r>
      <w:proofErr w:type="gramEnd"/>
      <w:r>
        <w:rPr>
          <w:rFonts w:ascii="Palatino Linotype" w:eastAsia="Palatino Linotype" w:hAnsi="Palatino Linotype" w:cs="Palatino Linotype"/>
          <w:sz w:val="21"/>
          <w:szCs w:val="21"/>
        </w:rPr>
        <w:t xml:space="preserve">      </w:t>
      </w:r>
      <w:r>
        <w:rPr>
          <w:rFonts w:ascii="Palatino Linotype" w:eastAsia="Palatino Linotype" w:hAnsi="Palatino Linotype" w:cs="Palatino Linotype"/>
          <w:spacing w:val="47"/>
          <w:sz w:val="21"/>
          <w:szCs w:val="21"/>
        </w:rPr>
        <w:t xml:space="preserve"> </w:t>
      </w:r>
      <w:r>
        <w:rPr>
          <w:rFonts w:ascii="Palatino Linotype" w:eastAsia="Palatino Linotype" w:hAnsi="Palatino Linotype" w:cs="Palatino Linotype"/>
          <w:sz w:val="21"/>
          <w:szCs w:val="21"/>
        </w:rPr>
        <w:t>Any</w:t>
      </w:r>
    </w:p>
    <w:p w:rsidR="002A1594" w:rsidRDefault="002A1594">
      <w:pPr>
        <w:spacing w:before="12"/>
        <w:rPr>
          <w:rFonts w:ascii="Palatino Linotype" w:eastAsia="Palatino Linotype" w:hAnsi="Palatino Linotype" w:cs="Palatino Linotype"/>
          <w:sz w:val="19"/>
          <w:szCs w:val="19"/>
        </w:rPr>
      </w:pPr>
    </w:p>
    <w:p w:rsidR="002A1594" w:rsidRDefault="00073D1D">
      <w:pPr>
        <w:pStyle w:val="BodyText"/>
        <w:ind w:left="4371" w:right="4369"/>
        <w:jc w:val="center"/>
      </w:pPr>
      <w:r>
        <w:t>40</w:t>
      </w:r>
    </w:p>
    <w:p w:rsidR="002A1594" w:rsidRDefault="002A1594">
      <w:pPr>
        <w:jc w:val="center"/>
        <w:sectPr w:rsidR="002A1594">
          <w:headerReference w:type="default" r:id="rId15"/>
          <w:pgSz w:w="12240" w:h="15840"/>
          <w:pgMar w:top="540" w:right="162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103"/>
        <w:jc w:val="both"/>
      </w:pPr>
      <w:proofErr w:type="gramStart"/>
      <w:r>
        <w:rPr>
          <w:rFonts w:cs="Palatino Linotype"/>
        </w:rPr>
        <w:t>satisfy</w:t>
      </w:r>
      <w:proofErr w:type="gramEnd"/>
      <w:r>
        <w:rPr>
          <w:rFonts w:cs="Palatino Linotype"/>
        </w:rPr>
        <w:t xml:space="preserve"> to qualify for a punitive award” </w:t>
      </w:r>
      <w:r>
        <w:t>guarantees that any award of punitive damages under § 1211</w:t>
      </w:r>
      <w:r>
        <w:rPr>
          <w:rFonts w:cs="Palatino Linotype"/>
        </w:rPr>
        <w:t xml:space="preserve">2(d)(2)(A) will be “based on something more than a mere violation of that provision.” </w:t>
      </w:r>
      <w:r>
        <w:rPr>
          <w:rFonts w:cs="Palatino Linotype"/>
          <w:i/>
        </w:rPr>
        <w:t>Kolstad</w:t>
      </w:r>
      <w:r>
        <w:t xml:space="preserve">, 527 U.S. at 534; </w:t>
      </w:r>
      <w:r>
        <w:rPr>
          <w:rFonts w:cs="Palatino Linotype"/>
          <w:i/>
        </w:rPr>
        <w:t>Armstrong</w:t>
      </w:r>
      <w:r>
        <w:t xml:space="preserve">, 141 </w:t>
      </w:r>
      <w:proofErr w:type="gramStart"/>
      <w:r>
        <w:rPr>
          <w:spacing w:val="-4"/>
        </w:rPr>
        <w:t xml:space="preserve">F.3d  </w:t>
      </w:r>
      <w:r>
        <w:t>at</w:t>
      </w:r>
      <w:proofErr w:type="gramEnd"/>
      <w:r>
        <w:t xml:space="preserve"> 562.  </w:t>
      </w:r>
      <w:r>
        <w:rPr>
          <w:spacing w:val="-3"/>
        </w:rPr>
        <w:t xml:space="preserve">Accordingly, </w:t>
      </w:r>
      <w:r>
        <w:t xml:space="preserve">the </w:t>
      </w:r>
      <w:proofErr w:type="gramStart"/>
      <w:r>
        <w:t>EEOC  can</w:t>
      </w:r>
      <w:proofErr w:type="gramEnd"/>
      <w:r>
        <w:t xml:space="preserve"> seek punitive damages on beha</w:t>
      </w:r>
      <w:r>
        <w:t xml:space="preserve">lf of the applicants who were unlawfully subjected to pre-offer medical examinations and inquiries even if those applicants are not otherwise entitled to compensatory damages.  </w:t>
      </w:r>
      <w:r>
        <w:rPr>
          <w:rFonts w:cs="Palatino Linotype"/>
          <w:i/>
        </w:rPr>
        <w:t>Cush-Crawford</w:t>
      </w:r>
      <w:r>
        <w:t xml:space="preserve">, </w:t>
      </w:r>
      <w:proofErr w:type="gramStart"/>
      <w:r>
        <w:t xml:space="preserve">271 </w:t>
      </w:r>
      <w:r>
        <w:rPr>
          <w:spacing w:val="-5"/>
        </w:rPr>
        <w:t xml:space="preserve">F.3d </w:t>
      </w:r>
      <w:r>
        <w:t>at</w:t>
      </w:r>
      <w:r>
        <w:rPr>
          <w:spacing w:val="-6"/>
        </w:rPr>
        <w:t xml:space="preserve"> </w:t>
      </w:r>
      <w:r>
        <w:t>359</w:t>
      </w:r>
      <w:proofErr w:type="gramEnd"/>
      <w:r>
        <w:t>.</w:t>
      </w:r>
    </w:p>
    <w:p w:rsidR="002A1594" w:rsidRDefault="00073D1D">
      <w:pPr>
        <w:pStyle w:val="BodyText"/>
        <w:spacing w:before="0" w:line="480" w:lineRule="auto"/>
        <w:ind w:right="101" w:firstLine="719"/>
        <w:jc w:val="both"/>
      </w:pPr>
      <w:r>
        <w:rPr>
          <w:rFonts w:cs="Palatino Linotype"/>
        </w:rPr>
        <w:t>The “mere existence” of a statutory violation p</w:t>
      </w:r>
      <w:r>
        <w:rPr>
          <w:rFonts w:cs="Palatino Linotype"/>
        </w:rPr>
        <w:t xml:space="preserve">rovides no guarantee that an </w:t>
      </w:r>
      <w:r>
        <w:t xml:space="preserve">applicant is eligible for an award of punitive damages. </w:t>
      </w:r>
      <w:r>
        <w:rPr>
          <w:rFonts w:cs="Palatino Linotype"/>
          <w:i/>
        </w:rPr>
        <w:t>Alexander</w:t>
      </w:r>
      <w:r>
        <w:t xml:space="preserve">, </w:t>
      </w:r>
      <w:proofErr w:type="gramStart"/>
      <w:r>
        <w:t xml:space="preserve">208 </w:t>
      </w:r>
      <w:r>
        <w:rPr>
          <w:spacing w:val="-4"/>
        </w:rPr>
        <w:t xml:space="preserve">F.3d </w:t>
      </w:r>
      <w:r>
        <w:t>at 432</w:t>
      </w:r>
      <w:proofErr w:type="gramEnd"/>
      <w:r>
        <w:t xml:space="preserve">. </w:t>
      </w:r>
      <w:r>
        <w:rPr>
          <w:spacing w:val="-8"/>
        </w:rPr>
        <w:t xml:space="preserve">To </w:t>
      </w:r>
      <w:r>
        <w:t>recover punitive damages for the aggrieved individuals, the EEOC will need to demonstrate that the Defendants subjectively disregarded a ris</w:t>
      </w:r>
      <w:r>
        <w:t xml:space="preserve">k that their conduct violated Title I. </w:t>
      </w:r>
      <w:r>
        <w:rPr>
          <w:rFonts w:cs="Palatino Linotype"/>
          <w:i/>
        </w:rPr>
        <w:t>Kolstad</w:t>
      </w:r>
      <w:r>
        <w:t xml:space="preserve">, 527 U.S. at 536-537. Furthermore, the EEOC will have to establish that the actions of the offending individuals can be imputed to the Defendants under the standard announced in </w:t>
      </w:r>
      <w:r>
        <w:rPr>
          <w:rFonts w:cs="Palatino Linotype"/>
          <w:i/>
        </w:rPr>
        <w:t>Kolstad</w:t>
      </w:r>
      <w:r>
        <w:t xml:space="preserve">. </w:t>
      </w:r>
      <w:proofErr w:type="gramStart"/>
      <w:r>
        <w:rPr>
          <w:rFonts w:cs="Palatino Linotype"/>
          <w:i/>
        </w:rPr>
        <w:t xml:space="preserve">Id. </w:t>
      </w:r>
      <w:r>
        <w:t>at 539-46.</w:t>
      </w:r>
      <w:proofErr w:type="gramEnd"/>
      <w:r>
        <w:t xml:space="preserve"> At this</w:t>
      </w:r>
      <w:r>
        <w:t xml:space="preserve"> time, no opinion is expressed as to whether punitive damages will ultimately be awarded in this</w:t>
      </w:r>
      <w:r>
        <w:rPr>
          <w:spacing w:val="-23"/>
        </w:rPr>
        <w:t xml:space="preserve"> </w:t>
      </w:r>
      <w:r>
        <w:t>case.</w:t>
      </w: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13"/>
        <w:rPr>
          <w:rFonts w:ascii="Palatino Linotype" w:eastAsia="Palatino Linotype" w:hAnsi="Palatino Linotype" w:cs="Palatino Linotype"/>
          <w:sz w:val="10"/>
          <w:szCs w:val="10"/>
        </w:rPr>
      </w:pPr>
    </w:p>
    <w:p w:rsidR="002A1594" w:rsidRDefault="00073D1D">
      <w:pPr>
        <w:spacing w:line="20" w:lineRule="exact"/>
        <w:ind w:left="102"/>
        <w:rPr>
          <w:rFonts w:ascii="Palatino Linotype" w:eastAsia="Palatino Linotype" w:hAnsi="Palatino Linotype" w:cs="Palatino Linotype"/>
          <w:sz w:val="2"/>
          <w:szCs w:val="2"/>
        </w:rPr>
      </w:pPr>
      <w:r>
        <w:rPr>
          <w:rFonts w:ascii="Palatino Linotype" w:eastAsia="Palatino Linotype" w:hAnsi="Palatino Linotype" w:cs="Palatino Linotype"/>
          <w:sz w:val="2"/>
          <w:szCs w:val="2"/>
        </w:rPr>
      </w:r>
      <w:r>
        <w:rPr>
          <w:rFonts w:ascii="Palatino Linotype" w:eastAsia="Palatino Linotype" w:hAnsi="Palatino Linotype" w:cs="Palatino Linotype"/>
          <w:sz w:val="2"/>
          <w:szCs w:val="2"/>
        </w:rPr>
        <w:pict>
          <v:group id="_x0000_s1045" style="width:439.9pt;height:.6pt;mso-position-horizontal-relative:char;mso-position-vertical-relative:line" coordsize="8798,12">
            <v:group id="_x0000_s1046" style="position:absolute;left:6;top:6;width:8786;height:2" coordorigin="6,6" coordsize="8786,2">
              <v:shape id="_x0000_s1047" style="position:absolute;left:6;top:6;width:8786;height:2" coordorigin="6,6" coordsize="8786,0" path="m6,6r8785,e" filled="f" strokeweight=".6pt">
                <v:path arrowok="t"/>
              </v:shape>
            </v:group>
            <w10:wrap type="none"/>
            <w10:anchorlock/>
          </v:group>
        </w:pict>
      </w:r>
    </w:p>
    <w:p w:rsidR="002A1594" w:rsidRDefault="002A1594">
      <w:pPr>
        <w:spacing w:before="4"/>
        <w:rPr>
          <w:rFonts w:ascii="Palatino Linotype" w:eastAsia="Palatino Linotype" w:hAnsi="Palatino Linotype" w:cs="Palatino Linotype"/>
          <w:sz w:val="5"/>
          <w:szCs w:val="5"/>
        </w:rPr>
      </w:pPr>
    </w:p>
    <w:p w:rsidR="002A1594" w:rsidRDefault="00073D1D">
      <w:pPr>
        <w:spacing w:before="31"/>
        <w:ind w:left="108" w:right="101"/>
        <w:jc w:val="both"/>
        <w:rPr>
          <w:rFonts w:ascii="Palatino Linotype" w:eastAsia="Palatino Linotype" w:hAnsi="Palatino Linotype" w:cs="Palatino Linotype"/>
          <w:sz w:val="21"/>
          <w:szCs w:val="21"/>
        </w:rPr>
      </w:pPr>
      <w:proofErr w:type="gramStart"/>
      <w:r>
        <w:rPr>
          <w:rFonts w:ascii="Palatino Linotype" w:eastAsia="Palatino Linotype" w:hAnsi="Palatino Linotype" w:cs="Palatino Linotype"/>
          <w:sz w:val="21"/>
          <w:szCs w:val="21"/>
        </w:rPr>
        <w:t>constitutional</w:t>
      </w:r>
      <w:proofErr w:type="gramEnd"/>
      <w:r>
        <w:rPr>
          <w:rFonts w:ascii="Palatino Linotype" w:eastAsia="Palatino Linotype" w:hAnsi="Palatino Linotype" w:cs="Palatino Linotype"/>
          <w:sz w:val="21"/>
          <w:szCs w:val="21"/>
        </w:rPr>
        <w:t xml:space="preserve"> concerns about the imposition of excessive punitive damages awards in the present context are substantially mitigated by the statutory caps. </w:t>
      </w:r>
      <w:r>
        <w:rPr>
          <w:rFonts w:ascii="Palatino Linotype" w:eastAsia="Palatino Linotype" w:hAnsi="Palatino Linotype" w:cs="Palatino Linotype"/>
          <w:i/>
          <w:sz w:val="21"/>
          <w:szCs w:val="21"/>
        </w:rPr>
        <w:t>EEOC v. Autozone, Inc.</w:t>
      </w:r>
      <w:r>
        <w:rPr>
          <w:rFonts w:ascii="Palatino Linotype" w:eastAsia="Palatino Linotype" w:hAnsi="Palatino Linotype" w:cs="Palatino Linotype"/>
          <w:sz w:val="21"/>
          <w:szCs w:val="21"/>
        </w:rPr>
        <w:t>, 707 F.3d 824, 840 (7th Cir. 2013</w:t>
      </w:r>
      <w:proofErr w:type="gramStart"/>
      <w:r>
        <w:rPr>
          <w:rFonts w:ascii="Palatino Linotype" w:eastAsia="Palatino Linotype" w:hAnsi="Palatino Linotype" w:cs="Palatino Linotype"/>
          <w:sz w:val="21"/>
          <w:szCs w:val="21"/>
        </w:rPr>
        <w:t>)(</w:t>
      </w:r>
      <w:proofErr w:type="gramEnd"/>
      <w:r>
        <w:rPr>
          <w:rFonts w:ascii="Palatino Linotype" w:eastAsia="Palatino Linotype" w:hAnsi="Palatino Linotype" w:cs="Palatino Linotype"/>
          <w:sz w:val="21"/>
          <w:szCs w:val="21"/>
        </w:rPr>
        <w:t>recog</w:t>
      </w:r>
      <w:r>
        <w:rPr>
          <w:rFonts w:ascii="Palatino Linotype" w:eastAsia="Palatino Linotype" w:hAnsi="Palatino Linotype" w:cs="Palatino Linotype"/>
          <w:sz w:val="21"/>
          <w:szCs w:val="21"/>
        </w:rPr>
        <w:t xml:space="preserve">nizing that the existence of a statutory cap “suggests that an award of damages at the capped maximum is not outlandish”). Nevertheless, the </w:t>
      </w:r>
      <w:proofErr w:type="gramStart"/>
      <w:r>
        <w:rPr>
          <w:rFonts w:ascii="Palatino Linotype" w:eastAsia="Palatino Linotype" w:hAnsi="Palatino Linotype" w:cs="Palatino Linotype"/>
          <w:sz w:val="21"/>
          <w:szCs w:val="21"/>
        </w:rPr>
        <w:t>Ninth  Circuit</w:t>
      </w:r>
      <w:proofErr w:type="gramEnd"/>
      <w:r>
        <w:rPr>
          <w:rFonts w:ascii="Palatino Linotype" w:eastAsia="Palatino Linotype" w:hAnsi="Palatino Linotype" w:cs="Palatino Linotype"/>
          <w:sz w:val="21"/>
          <w:szCs w:val="21"/>
        </w:rPr>
        <w:t xml:space="preserve"> recently concluded that an award of punitive damages falling within the applicable statutory cap can</w:t>
      </w:r>
      <w:r>
        <w:rPr>
          <w:rFonts w:ascii="Palatino Linotype" w:eastAsia="Palatino Linotype" w:hAnsi="Palatino Linotype" w:cs="Palatino Linotype"/>
          <w:sz w:val="21"/>
          <w:szCs w:val="21"/>
        </w:rPr>
        <w:t xml:space="preserve"> still protrude “outside of constitutional limits.” </w:t>
      </w:r>
      <w:r>
        <w:rPr>
          <w:rFonts w:ascii="Palatino Linotype" w:eastAsia="Palatino Linotype" w:hAnsi="Palatino Linotype" w:cs="Palatino Linotype"/>
          <w:i/>
          <w:sz w:val="21"/>
          <w:szCs w:val="21"/>
        </w:rPr>
        <w:t>Arizona v. ASARCO, LLC</w:t>
      </w:r>
      <w:proofErr w:type="gramStart"/>
      <w:r>
        <w:rPr>
          <w:rFonts w:ascii="Palatino Linotype" w:eastAsia="Palatino Linotype" w:hAnsi="Palatino Linotype" w:cs="Palatino Linotype"/>
          <w:sz w:val="21"/>
          <w:szCs w:val="21"/>
        </w:rPr>
        <w:t>,  733</w:t>
      </w:r>
      <w:proofErr w:type="gramEnd"/>
      <w:r>
        <w:rPr>
          <w:rFonts w:ascii="Palatino Linotype" w:eastAsia="Palatino Linotype" w:hAnsi="Palatino Linotype" w:cs="Palatino Linotype"/>
          <w:sz w:val="21"/>
          <w:szCs w:val="21"/>
        </w:rPr>
        <w:t xml:space="preserve"> F.3d 882, 892 (9th Cir. 2013).  At this time, the Court expresses no opinion as to </w:t>
      </w:r>
      <w:proofErr w:type="gramStart"/>
      <w:r>
        <w:rPr>
          <w:rFonts w:ascii="Palatino Linotype" w:eastAsia="Palatino Linotype" w:hAnsi="Palatino Linotype" w:cs="Palatino Linotype"/>
          <w:sz w:val="21"/>
          <w:szCs w:val="21"/>
        </w:rPr>
        <w:t>whether  the</w:t>
      </w:r>
      <w:proofErr w:type="gramEnd"/>
      <w:r>
        <w:rPr>
          <w:rFonts w:ascii="Palatino Linotype" w:eastAsia="Palatino Linotype" w:hAnsi="Palatino Linotype" w:cs="Palatino Linotype"/>
          <w:sz w:val="21"/>
          <w:szCs w:val="21"/>
        </w:rPr>
        <w:t xml:space="preserve"> Due Process Clause of the Fifth Amendment imposes limits on the amounts of puni</w:t>
      </w:r>
      <w:r>
        <w:rPr>
          <w:rFonts w:ascii="Palatino Linotype" w:eastAsia="Palatino Linotype" w:hAnsi="Palatino Linotype" w:cs="Palatino Linotype"/>
          <w:sz w:val="21"/>
          <w:szCs w:val="21"/>
        </w:rPr>
        <w:t xml:space="preserve">tive damages recoverable in this case beyond those already imposed by statute. 42 U.S.C. § </w:t>
      </w:r>
      <w:proofErr w:type="gramStart"/>
      <w:r>
        <w:rPr>
          <w:rFonts w:ascii="Palatino Linotype" w:eastAsia="Palatino Linotype" w:hAnsi="Palatino Linotype" w:cs="Palatino Linotype"/>
          <w:sz w:val="21"/>
          <w:szCs w:val="21"/>
        </w:rPr>
        <w:t>1981a(</w:t>
      </w:r>
      <w:proofErr w:type="gramEnd"/>
      <w:r>
        <w:rPr>
          <w:rFonts w:ascii="Palatino Linotype" w:eastAsia="Palatino Linotype" w:hAnsi="Palatino Linotype" w:cs="Palatino Linotype"/>
          <w:sz w:val="21"/>
          <w:szCs w:val="21"/>
        </w:rPr>
        <w:t>b)(3)(A)-(D). If punitive damages are ultimately awarded for individuals who have not suffered tangible injuries, the Defendants remain free to challenge the a</w:t>
      </w:r>
      <w:r>
        <w:rPr>
          <w:rFonts w:ascii="Palatino Linotype" w:eastAsia="Palatino Linotype" w:hAnsi="Palatino Linotype" w:cs="Palatino Linotype"/>
          <w:sz w:val="21"/>
          <w:szCs w:val="21"/>
        </w:rPr>
        <w:t>mounts of those awards on constitutional</w:t>
      </w:r>
      <w:r>
        <w:rPr>
          <w:rFonts w:ascii="Palatino Linotype" w:eastAsia="Palatino Linotype" w:hAnsi="Palatino Linotype" w:cs="Palatino Linotype"/>
          <w:spacing w:val="-8"/>
          <w:sz w:val="21"/>
          <w:szCs w:val="21"/>
        </w:rPr>
        <w:t xml:space="preserve"> </w:t>
      </w:r>
      <w:r>
        <w:rPr>
          <w:rFonts w:ascii="Palatino Linotype" w:eastAsia="Palatino Linotype" w:hAnsi="Palatino Linotype" w:cs="Palatino Linotype"/>
          <w:sz w:val="21"/>
          <w:szCs w:val="21"/>
        </w:rPr>
        <w:t>grounds.</w:t>
      </w:r>
    </w:p>
    <w:p w:rsidR="002A1594" w:rsidRDefault="002A1594">
      <w:pPr>
        <w:spacing w:before="12"/>
        <w:rPr>
          <w:rFonts w:ascii="Palatino Linotype" w:eastAsia="Palatino Linotype" w:hAnsi="Palatino Linotype" w:cs="Palatino Linotype"/>
          <w:sz w:val="19"/>
          <w:szCs w:val="19"/>
        </w:rPr>
      </w:pPr>
    </w:p>
    <w:p w:rsidR="002A1594" w:rsidRDefault="00073D1D">
      <w:pPr>
        <w:pStyle w:val="BodyText"/>
        <w:ind w:left="4371" w:right="4369"/>
        <w:jc w:val="center"/>
      </w:pPr>
      <w:r>
        <w:t>41</w:t>
      </w:r>
    </w:p>
    <w:p w:rsidR="002A1594" w:rsidRDefault="002A1594">
      <w:pPr>
        <w:jc w:val="center"/>
        <w:sectPr w:rsidR="002A1594">
          <w:headerReference w:type="default" r:id="rId16"/>
          <w:pgSz w:w="12240" w:h="15840"/>
          <w:pgMar w:top="540" w:right="1620" w:bottom="280" w:left="1620" w:header="306" w:footer="0" w:gutter="0"/>
          <w:pgNumType w:start="41"/>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101" w:firstLine="719"/>
        <w:jc w:val="both"/>
      </w:pPr>
      <w:r>
        <w:t xml:space="preserve">The EEOC need only establish that injuries flowed from the statutory violations in order to recover compensatory damages for the aggrieved applicants.  </w:t>
      </w:r>
      <w:r>
        <w:rPr>
          <w:rFonts w:cs="Palatino Linotype"/>
          <w:i/>
        </w:rPr>
        <w:t>Garrison</w:t>
      </w:r>
      <w:r>
        <w:t xml:space="preserve">, 287 </w:t>
      </w:r>
      <w:proofErr w:type="gramStart"/>
      <w:r>
        <w:rPr>
          <w:spacing w:val="-5"/>
        </w:rPr>
        <w:t xml:space="preserve">F.3d  </w:t>
      </w:r>
      <w:r>
        <w:t>at</w:t>
      </w:r>
      <w:proofErr w:type="gramEnd"/>
      <w:r>
        <w:t xml:space="preserve"> 963. If the Defendants </w:t>
      </w:r>
      <w:r>
        <w:rPr>
          <w:rFonts w:cs="Palatino Linotype"/>
        </w:rPr>
        <w:t xml:space="preserve">had complied with Title </w:t>
      </w:r>
      <w:r>
        <w:rPr>
          <w:rFonts w:cs="Palatino Linotype"/>
          <w:spacing w:val="-8"/>
        </w:rPr>
        <w:t xml:space="preserve">I’s </w:t>
      </w:r>
      <w:r>
        <w:rPr>
          <w:rFonts w:cs="Palatino Linotype"/>
        </w:rPr>
        <w:t>statutory mandate limiting med</w:t>
      </w:r>
      <w:r>
        <w:rPr>
          <w:rFonts w:cs="Palatino Linotype"/>
        </w:rPr>
        <w:t xml:space="preserve">ical </w:t>
      </w:r>
      <w:r>
        <w:t xml:space="preserve">examinations to the post-offer stage, any applicant rejected on the basis of information uncovered during the course of such an examination would have had to establish the </w:t>
      </w:r>
      <w:r>
        <w:rPr>
          <w:rFonts w:cs="Palatino Linotype"/>
        </w:rPr>
        <w:t xml:space="preserve">existence of a “disability” in order to assert an “improper use” claim under § </w:t>
      </w:r>
      <w:r>
        <w:t>12112(d)(3)(C).</w:t>
      </w:r>
      <w:r>
        <w:rPr>
          <w:spacing w:val="6"/>
        </w:rPr>
        <w:t xml:space="preserve"> </w:t>
      </w:r>
      <w:r>
        <w:rPr>
          <w:rFonts w:cs="Palatino Linotype"/>
          <w:i/>
        </w:rPr>
        <w:t>O’Neal</w:t>
      </w:r>
      <w:r>
        <w:t xml:space="preserve">, </w:t>
      </w:r>
      <w:proofErr w:type="gramStart"/>
      <w:r>
        <w:t xml:space="preserve">293  </w:t>
      </w:r>
      <w:r>
        <w:rPr>
          <w:spacing w:val="-4"/>
        </w:rPr>
        <w:t>F.3d</w:t>
      </w:r>
      <w:proofErr w:type="gramEnd"/>
      <w:r>
        <w:rPr>
          <w:spacing w:val="-4"/>
        </w:rPr>
        <w:t xml:space="preserve">  </w:t>
      </w:r>
      <w:r>
        <w:t xml:space="preserve">at  1009-10;  </w:t>
      </w:r>
      <w:r>
        <w:rPr>
          <w:rFonts w:cs="Palatino Linotype"/>
          <w:i/>
        </w:rPr>
        <w:t>Chedwick</w:t>
      </w:r>
      <w:r>
        <w:t>,  2011  WL 1559792, at  *11-14,  2011</w:t>
      </w:r>
    </w:p>
    <w:p w:rsidR="002A1594" w:rsidRDefault="00073D1D">
      <w:pPr>
        <w:pStyle w:val="BodyText"/>
        <w:spacing w:before="0" w:line="480" w:lineRule="auto"/>
        <w:ind w:right="102"/>
        <w:jc w:val="both"/>
        <w:rPr>
          <w:rFonts w:cs="Palatino Linotype"/>
        </w:rPr>
      </w:pPr>
      <w:r>
        <w:t xml:space="preserve">U.S. Dist. LEXIS 43239, at *35-45. Since the examinations in this case were </w:t>
      </w:r>
      <w:r>
        <w:rPr>
          <w:rFonts w:cs="Palatino Linotype"/>
          <w:i/>
        </w:rPr>
        <w:t xml:space="preserve">illegally </w:t>
      </w:r>
      <w:r>
        <w:t>conducted at the pre-offer stage, the EEOC can seek backpay and compensato</w:t>
      </w:r>
      <w:r>
        <w:t xml:space="preserve">ry damages on behalf of </w:t>
      </w:r>
      <w:r>
        <w:rPr>
          <w:rFonts w:cs="Palatino Linotype"/>
          <w:i/>
        </w:rPr>
        <w:t xml:space="preserve">any </w:t>
      </w:r>
      <w:r>
        <w:t xml:space="preserve">applicant rejected based on unlawfully procured medical information, regardless of whether </w:t>
      </w:r>
      <w:r>
        <w:rPr>
          <w:rFonts w:cs="Palatino Linotype"/>
        </w:rPr>
        <w:t xml:space="preserve">his or her injuries are attributable to “discrimination based on a </w:t>
      </w:r>
      <w:r>
        <w:rPr>
          <w:rFonts w:cs="Palatino Linotype"/>
          <w:spacing w:val="-3"/>
        </w:rPr>
        <w:t xml:space="preserve">disability.” </w:t>
      </w:r>
      <w:r>
        <w:rPr>
          <w:rFonts w:cs="Palatino Linotype"/>
          <w:i/>
        </w:rPr>
        <w:t>Garrison</w:t>
      </w:r>
      <w:r>
        <w:t xml:space="preserve">, </w:t>
      </w:r>
      <w:proofErr w:type="gramStart"/>
      <w:r>
        <w:t xml:space="preserve">287 </w:t>
      </w:r>
      <w:r>
        <w:rPr>
          <w:spacing w:val="-4"/>
        </w:rPr>
        <w:t xml:space="preserve">F.3d </w:t>
      </w:r>
      <w:r>
        <w:t>at 963</w:t>
      </w:r>
      <w:proofErr w:type="gramEnd"/>
      <w:r>
        <w:t xml:space="preserve">. Moreover, recovery may be sought for less tangible injuries caused by the examinations and inquiries, irrespective of whether those injuries manifested themselves in the form of personnel decisions. </w:t>
      </w:r>
      <w:r>
        <w:rPr>
          <w:rFonts w:cs="Palatino Linotype"/>
          <w:i/>
          <w:spacing w:val="-3"/>
        </w:rPr>
        <w:t>Tice</w:t>
      </w:r>
      <w:r>
        <w:rPr>
          <w:spacing w:val="-3"/>
        </w:rPr>
        <w:t xml:space="preserve">, </w:t>
      </w:r>
      <w:r>
        <w:t xml:space="preserve">247 </w:t>
      </w:r>
      <w:r>
        <w:rPr>
          <w:spacing w:val="-4"/>
        </w:rPr>
        <w:t xml:space="preserve">F.3d </w:t>
      </w:r>
      <w:proofErr w:type="gramStart"/>
      <w:r>
        <w:t>at  519</w:t>
      </w:r>
      <w:proofErr w:type="gramEnd"/>
      <w:r>
        <w:t xml:space="preserve">  (suggestin</w:t>
      </w:r>
      <w:r>
        <w:rPr>
          <w:rFonts w:cs="Palatino Linotype"/>
        </w:rPr>
        <w:t>g that an “emot</w:t>
      </w:r>
      <w:r>
        <w:rPr>
          <w:rFonts w:cs="Palatino Linotype"/>
        </w:rPr>
        <w:t>ional” injury could constitute “actual</w:t>
      </w:r>
      <w:r>
        <w:rPr>
          <w:rFonts w:cs="Palatino Linotype"/>
          <w:spacing w:val="-17"/>
        </w:rPr>
        <w:t xml:space="preserve"> </w:t>
      </w:r>
      <w:r>
        <w:rPr>
          <w:rFonts w:cs="Palatino Linotype"/>
        </w:rPr>
        <w:t>damage”).</w:t>
      </w:r>
    </w:p>
    <w:p w:rsidR="002A1594" w:rsidRDefault="00073D1D">
      <w:pPr>
        <w:pStyle w:val="BodyText"/>
        <w:spacing w:before="0" w:line="480" w:lineRule="auto"/>
        <w:ind w:right="105" w:firstLine="719"/>
        <w:jc w:val="both"/>
      </w:pPr>
      <w:r>
        <w:rPr>
          <w:rFonts w:cs="Palatino Linotype"/>
        </w:rPr>
        <w:t xml:space="preserve">In accordance with the </w:t>
      </w:r>
      <w:r>
        <w:rPr>
          <w:rFonts w:cs="Palatino Linotype"/>
          <w:spacing w:val="-5"/>
        </w:rPr>
        <w:t xml:space="preserve">EEOC’s </w:t>
      </w:r>
      <w:r>
        <w:rPr>
          <w:rFonts w:cs="Palatino Linotype"/>
        </w:rPr>
        <w:t xml:space="preserve">request, further proceedings will be conducted to address the issue of damages. Since the </w:t>
      </w:r>
      <w:r>
        <w:rPr>
          <w:rFonts w:cs="Palatino Linotype"/>
          <w:spacing w:val="-6"/>
        </w:rPr>
        <w:t xml:space="preserve">CCC’s </w:t>
      </w:r>
      <w:r>
        <w:rPr>
          <w:rFonts w:cs="Palatino Linotype"/>
        </w:rPr>
        <w:t xml:space="preserve">coverage under Title I has not been </w:t>
      </w:r>
      <w:r>
        <w:t>established, the upcoming proceedings will ne</w:t>
      </w:r>
      <w:r>
        <w:t>ed to facilitate the resolution of that issue as well. The Court expresses no opinion as to whether any monetary awards are justified in this case. As the case progresses, each party will be afforded an opportunity to assert its position on how the remaini</w:t>
      </w:r>
      <w:r>
        <w:t>ng proceedings should be</w:t>
      </w:r>
      <w:r>
        <w:rPr>
          <w:spacing w:val="-15"/>
        </w:rPr>
        <w:t xml:space="preserve"> </w:t>
      </w:r>
      <w:r>
        <w:t>conducted.</w:t>
      </w:r>
    </w:p>
    <w:p w:rsidR="002A1594" w:rsidRDefault="002A1594">
      <w:pPr>
        <w:rPr>
          <w:rFonts w:ascii="Palatino Linotype" w:eastAsia="Palatino Linotype" w:hAnsi="Palatino Linotype" w:cs="Palatino Linotype"/>
          <w:sz w:val="20"/>
          <w:szCs w:val="20"/>
        </w:rPr>
      </w:pPr>
    </w:p>
    <w:p w:rsidR="002A1594" w:rsidRDefault="002A1594">
      <w:pPr>
        <w:spacing w:before="12"/>
        <w:rPr>
          <w:rFonts w:ascii="Palatino Linotype" w:eastAsia="Palatino Linotype" w:hAnsi="Palatino Linotype" w:cs="Palatino Linotype"/>
          <w:sz w:val="23"/>
          <w:szCs w:val="23"/>
        </w:rPr>
      </w:pPr>
    </w:p>
    <w:p w:rsidR="002A1594" w:rsidRDefault="00073D1D">
      <w:pPr>
        <w:pStyle w:val="BodyText"/>
        <w:ind w:left="4371" w:right="4369"/>
        <w:jc w:val="center"/>
      </w:pPr>
      <w:r>
        <w:t>42</w:t>
      </w:r>
    </w:p>
    <w:p w:rsidR="002A1594" w:rsidRDefault="002A1594">
      <w:pPr>
        <w:jc w:val="center"/>
        <w:sectPr w:rsidR="002A1594">
          <w:pgSz w:w="12240" w:h="15840"/>
          <w:pgMar w:top="540" w:right="162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Heading3"/>
        <w:numPr>
          <w:ilvl w:val="1"/>
          <w:numId w:val="1"/>
        </w:numPr>
        <w:tabs>
          <w:tab w:val="left" w:pos="829"/>
        </w:tabs>
        <w:spacing w:before="28"/>
        <w:ind w:left="828"/>
        <w:jc w:val="left"/>
        <w:rPr>
          <w:b w:val="0"/>
          <w:bCs w:val="0"/>
        </w:rPr>
      </w:pPr>
      <w:r>
        <w:t>The Disability-Based Discrimination</w:t>
      </w:r>
      <w:r>
        <w:rPr>
          <w:spacing w:val="-16"/>
        </w:rPr>
        <w:t xml:space="preserve"> </w:t>
      </w:r>
      <w:r>
        <w:t>Claims</w:t>
      </w:r>
    </w:p>
    <w:p w:rsidR="002A1594" w:rsidRDefault="002A1594">
      <w:pPr>
        <w:spacing w:before="13"/>
        <w:rPr>
          <w:rFonts w:ascii="Palatino Linotype" w:eastAsia="Palatino Linotype" w:hAnsi="Palatino Linotype" w:cs="Palatino Linotype"/>
          <w:b/>
          <w:bCs/>
          <w:sz w:val="21"/>
          <w:szCs w:val="21"/>
        </w:rPr>
      </w:pPr>
    </w:p>
    <w:p w:rsidR="002A1594" w:rsidRDefault="00073D1D">
      <w:pPr>
        <w:pStyle w:val="BodyText"/>
        <w:spacing w:before="0" w:line="480" w:lineRule="auto"/>
        <w:ind w:right="102" w:firstLine="719"/>
        <w:jc w:val="both"/>
      </w:pPr>
      <w:r>
        <w:t>In addition to the § 12112(d) claims arising from the unlawful medical examinations and inquiries, the EEOC brings § 12112(a) claims on behalf of 26 applicants who were allegedly denied employment opportunities with the CCC because of actual or perceived d</w:t>
      </w:r>
      <w:r>
        <w:t>isabilities.</w:t>
      </w:r>
      <w:r>
        <w:rPr>
          <w:position w:val="6"/>
          <w:sz w:val="13"/>
          <w:szCs w:val="13"/>
        </w:rPr>
        <w:t xml:space="preserve">12 </w:t>
      </w:r>
      <w:r>
        <w:t xml:space="preserve">(ECF No. 1 ¶ 12(g)). A plaintiff attempting to proceed with a discrimination claim under § 12112(a) must establish that he or she is </w:t>
      </w:r>
      <w:r>
        <w:rPr>
          <w:rFonts w:cs="Palatino Linotype"/>
        </w:rPr>
        <w:t xml:space="preserve">“disabled” within </w:t>
      </w:r>
      <w:r>
        <w:t xml:space="preserve">the meaning of the ADA. </w:t>
      </w:r>
      <w:proofErr w:type="gramStart"/>
      <w:r>
        <w:rPr>
          <w:rFonts w:cs="Palatino Linotype"/>
          <w:i/>
        </w:rPr>
        <w:t xml:space="preserve">Erdman </w:t>
      </w:r>
      <w:r>
        <w:rPr>
          <w:rFonts w:cs="Palatino Linotype"/>
          <w:i/>
          <w:spacing w:val="-6"/>
        </w:rPr>
        <w:t xml:space="preserve">v. </w:t>
      </w:r>
      <w:r>
        <w:rPr>
          <w:rFonts w:cs="Palatino Linotype"/>
          <w:i/>
        </w:rPr>
        <w:t>Nationwide Ins. Co.</w:t>
      </w:r>
      <w:r>
        <w:t xml:space="preserve">, 582 </w:t>
      </w:r>
      <w:r>
        <w:rPr>
          <w:spacing w:val="-4"/>
        </w:rPr>
        <w:t xml:space="preserve">F.3d </w:t>
      </w:r>
      <w:r>
        <w:t xml:space="preserve">500, 509-10 (3d </w:t>
      </w:r>
      <w:r>
        <w:rPr>
          <w:spacing w:val="-4"/>
        </w:rPr>
        <w:t xml:space="preserve">Cir. </w:t>
      </w:r>
      <w:r>
        <w:t>2009)</w:t>
      </w:r>
      <w:r>
        <w:t>.</w:t>
      </w:r>
      <w:proofErr w:type="gramEnd"/>
      <w:r>
        <w:t xml:space="preserve"> For purposes of summary judgment, the Defendants concede that 26 </w:t>
      </w:r>
      <w:proofErr w:type="gramStart"/>
      <w:r>
        <w:t xml:space="preserve">individuals  </w:t>
      </w:r>
      <w:r>
        <w:rPr>
          <w:rFonts w:cs="Palatino Linotype"/>
        </w:rPr>
        <w:t>identified</w:t>
      </w:r>
      <w:proofErr w:type="gramEnd"/>
      <w:r>
        <w:rPr>
          <w:rFonts w:cs="Palatino Linotype"/>
        </w:rPr>
        <w:t xml:space="preserve"> by the EEOC were “disabled” during the course of the cha</w:t>
      </w:r>
      <w:r>
        <w:t xml:space="preserve">llenged hiring process. (ECF No. 130 at 1). With respect to the § 12112(a) claims, </w:t>
      </w:r>
      <w:proofErr w:type="gramStart"/>
      <w:r>
        <w:t>the  motion</w:t>
      </w:r>
      <w:proofErr w:type="gramEnd"/>
      <w:r>
        <w:t xml:space="preserve">  for summary j</w:t>
      </w:r>
      <w:r>
        <w:t>udgment filed by the Defendants relates primarily to the issue of causation.</w:t>
      </w:r>
      <w:r>
        <w:rPr>
          <w:position w:val="6"/>
          <w:sz w:val="13"/>
          <w:szCs w:val="13"/>
        </w:rPr>
        <w:t xml:space="preserve">13 </w:t>
      </w:r>
      <w:r>
        <w:t>(ECF No. 93 at</w:t>
      </w:r>
      <w:r>
        <w:rPr>
          <w:spacing w:val="-4"/>
        </w:rPr>
        <w:t xml:space="preserve"> </w:t>
      </w:r>
      <w:r>
        <w:t>16-27).</w:t>
      </w:r>
    </w:p>
    <w:p w:rsidR="002A1594" w:rsidRDefault="00073D1D">
      <w:pPr>
        <w:spacing w:after="79" w:line="480" w:lineRule="auto"/>
        <w:ind w:left="108" w:right="103" w:firstLine="719"/>
        <w:jc w:val="both"/>
        <w:rPr>
          <w:rFonts w:ascii="Palatino Linotype" w:eastAsia="Palatino Linotype" w:hAnsi="Palatino Linotype" w:cs="Palatino Linotype"/>
        </w:rPr>
      </w:pPr>
      <w:r>
        <w:rPr>
          <w:rFonts w:ascii="Palatino Linotype"/>
        </w:rPr>
        <w:t xml:space="preserve">The Defendants advance their arguments in accordance with the framework established in </w:t>
      </w:r>
      <w:r>
        <w:rPr>
          <w:rFonts w:ascii="Palatino Linotype"/>
          <w:i/>
        </w:rPr>
        <w:t xml:space="preserve">McDonnell Douglas Corp. </w:t>
      </w:r>
      <w:r>
        <w:rPr>
          <w:rFonts w:ascii="Palatino Linotype"/>
          <w:i/>
          <w:spacing w:val="-8"/>
        </w:rPr>
        <w:t xml:space="preserve">v. </w:t>
      </w:r>
      <w:r>
        <w:rPr>
          <w:rFonts w:ascii="Palatino Linotype"/>
          <w:i/>
        </w:rPr>
        <w:t>Green</w:t>
      </w:r>
      <w:r>
        <w:rPr>
          <w:rFonts w:ascii="Palatino Linotype"/>
        </w:rPr>
        <w:t xml:space="preserve">, 411 U.S. 792 (1973), and </w:t>
      </w:r>
      <w:r>
        <w:rPr>
          <w:rFonts w:ascii="Palatino Linotype"/>
          <w:i/>
          <w:spacing w:val="-6"/>
        </w:rPr>
        <w:t xml:space="preserve">Texas </w:t>
      </w:r>
      <w:r>
        <w:rPr>
          <w:rFonts w:ascii="Palatino Linotype"/>
          <w:i/>
        </w:rPr>
        <w:t>De</w:t>
      </w:r>
      <w:r>
        <w:rPr>
          <w:rFonts w:ascii="Palatino Linotype"/>
          <w:i/>
        </w:rPr>
        <w:t xml:space="preserve">partment of Community Affairs </w:t>
      </w:r>
      <w:r>
        <w:rPr>
          <w:rFonts w:ascii="Palatino Linotype"/>
          <w:i/>
          <w:spacing w:val="-6"/>
        </w:rPr>
        <w:t xml:space="preserve">v. </w:t>
      </w:r>
      <w:r>
        <w:rPr>
          <w:rFonts w:ascii="Palatino Linotype"/>
          <w:i/>
        </w:rPr>
        <w:t>Burdine</w:t>
      </w:r>
      <w:r>
        <w:rPr>
          <w:rFonts w:ascii="Palatino Linotype"/>
        </w:rPr>
        <w:t xml:space="preserve">, 450 U.S. 248 (1981).  (ECF No. 93 at 5-6).    </w:t>
      </w:r>
      <w:r>
        <w:rPr>
          <w:rFonts w:ascii="Palatino Linotype"/>
          <w:spacing w:val="35"/>
        </w:rPr>
        <w:t xml:space="preserve"> </w:t>
      </w:r>
      <w:r>
        <w:rPr>
          <w:rFonts w:ascii="Palatino Linotype"/>
        </w:rPr>
        <w:t>It is not entirely</w:t>
      </w:r>
    </w:p>
    <w:p w:rsidR="002A1594" w:rsidRDefault="00073D1D">
      <w:pPr>
        <w:spacing w:line="20" w:lineRule="exact"/>
        <w:ind w:left="102"/>
        <w:rPr>
          <w:rFonts w:ascii="Palatino Linotype" w:eastAsia="Palatino Linotype" w:hAnsi="Palatino Linotype" w:cs="Palatino Linotype"/>
          <w:sz w:val="2"/>
          <w:szCs w:val="2"/>
        </w:rPr>
      </w:pPr>
      <w:r>
        <w:rPr>
          <w:rFonts w:ascii="Palatino Linotype" w:eastAsia="Palatino Linotype" w:hAnsi="Palatino Linotype" w:cs="Palatino Linotype"/>
          <w:sz w:val="2"/>
          <w:szCs w:val="2"/>
        </w:rPr>
      </w:r>
      <w:r>
        <w:rPr>
          <w:rFonts w:ascii="Palatino Linotype" w:eastAsia="Palatino Linotype" w:hAnsi="Palatino Linotype" w:cs="Palatino Linotype"/>
          <w:sz w:val="2"/>
          <w:szCs w:val="2"/>
        </w:rPr>
        <w:pict>
          <v:group id="_x0000_s1042" style="width:144.65pt;height:.6pt;mso-position-horizontal-relative:char;mso-position-vertical-relative:line" coordsize="2893,12">
            <v:group id="_x0000_s1043" style="position:absolute;left:6;top:6;width:2881;height:2" coordorigin="6,6" coordsize="2881,2">
              <v:shape id="_x0000_s1044" style="position:absolute;left:6;top:6;width:2881;height:2" coordorigin="6,6" coordsize="2881,0" path="m6,6r2880,e" filled="f" strokeweight=".6pt">
                <v:path arrowok="t"/>
              </v:shape>
            </v:group>
            <w10:wrap type="none"/>
            <w10:anchorlock/>
          </v:group>
        </w:pict>
      </w:r>
    </w:p>
    <w:p w:rsidR="002A1594" w:rsidRDefault="002A1594">
      <w:pPr>
        <w:spacing w:before="2"/>
        <w:rPr>
          <w:rFonts w:ascii="Palatino Linotype" w:eastAsia="Palatino Linotype" w:hAnsi="Palatino Linotype" w:cs="Palatino Linotype"/>
          <w:sz w:val="5"/>
          <w:szCs w:val="5"/>
        </w:rPr>
      </w:pPr>
    </w:p>
    <w:p w:rsidR="002A1594" w:rsidRDefault="00073D1D">
      <w:pPr>
        <w:spacing w:before="33"/>
        <w:ind w:left="108" w:right="101"/>
        <w:jc w:val="both"/>
        <w:rPr>
          <w:rFonts w:ascii="Palatino Linotype" w:eastAsia="Palatino Linotype" w:hAnsi="Palatino Linotype" w:cs="Palatino Linotype"/>
          <w:sz w:val="21"/>
          <w:szCs w:val="21"/>
        </w:rPr>
      </w:pPr>
      <w:r>
        <w:rPr>
          <w:rFonts w:ascii="Palatino Linotype" w:eastAsia="Palatino Linotype" w:hAnsi="Palatino Linotype" w:cs="Palatino Linotype"/>
          <w:position w:val="6"/>
          <w:sz w:val="13"/>
          <w:szCs w:val="13"/>
        </w:rPr>
        <w:t xml:space="preserve">12 </w:t>
      </w:r>
      <w:r>
        <w:rPr>
          <w:rFonts w:ascii="Palatino Linotype" w:eastAsia="Palatino Linotype" w:hAnsi="Palatino Linotype" w:cs="Palatino Linotype"/>
          <w:sz w:val="21"/>
          <w:szCs w:val="21"/>
        </w:rPr>
        <w:t xml:space="preserve">The EEOC initially identified 27 “disabled” applicants. (ECF No. 114 at 20-21). One of those applicants was Therese Dow (“Dow”). </w:t>
      </w:r>
      <w:r>
        <w:rPr>
          <w:rFonts w:ascii="Palatino Linotype" w:eastAsia="Palatino Linotype" w:hAnsi="Palatino Linotype" w:cs="Palatino Linotype"/>
          <w:i/>
          <w:sz w:val="21"/>
          <w:szCs w:val="21"/>
        </w:rPr>
        <w:t xml:space="preserve">Id. </w:t>
      </w:r>
      <w:r>
        <w:rPr>
          <w:rFonts w:ascii="Palatino Linotype" w:eastAsia="Palatino Linotype" w:hAnsi="Palatino Linotype" w:cs="Palatino Linotype"/>
          <w:sz w:val="21"/>
          <w:szCs w:val="21"/>
        </w:rPr>
        <w:t>at 21 n.5. Discovery later revealed that Dow had received an offer of employment, b</w:t>
      </w:r>
      <w:r>
        <w:rPr>
          <w:rFonts w:ascii="Palatino Linotype" w:eastAsia="Palatino Linotype" w:hAnsi="Palatino Linotype" w:cs="Palatino Linotype"/>
          <w:sz w:val="21"/>
          <w:szCs w:val="21"/>
        </w:rPr>
        <w:t>ut that the offer had been rescinded based on the results of a post-offer functional agility test. (ECF No. 100-5 at 2; ECF No. 116-4 at 11-12). The EEOC is  no longer pursuing a failure-to-hire claim on Dow’s behalf. (ECF No. 114 at 21 n. 5). The remainin</w:t>
      </w:r>
      <w:r>
        <w:rPr>
          <w:rFonts w:ascii="Palatino Linotype" w:eastAsia="Palatino Linotype" w:hAnsi="Palatino Linotype" w:cs="Palatino Linotype"/>
          <w:sz w:val="21"/>
          <w:szCs w:val="21"/>
        </w:rPr>
        <w:t>g claim pertaining to Dow arises solely under §</w:t>
      </w:r>
      <w:r>
        <w:rPr>
          <w:rFonts w:ascii="Palatino Linotype" w:eastAsia="Palatino Linotype" w:hAnsi="Palatino Linotype" w:cs="Palatino Linotype"/>
          <w:spacing w:val="-13"/>
          <w:sz w:val="21"/>
          <w:szCs w:val="21"/>
        </w:rPr>
        <w:t xml:space="preserve"> </w:t>
      </w:r>
      <w:r>
        <w:rPr>
          <w:rFonts w:ascii="Palatino Linotype" w:eastAsia="Palatino Linotype" w:hAnsi="Palatino Linotype" w:cs="Palatino Linotype"/>
          <w:sz w:val="21"/>
          <w:szCs w:val="21"/>
        </w:rPr>
        <w:t>12112(d).</w:t>
      </w:r>
    </w:p>
    <w:p w:rsidR="002A1594" w:rsidRDefault="002A1594">
      <w:pPr>
        <w:spacing w:before="13"/>
        <w:rPr>
          <w:rFonts w:ascii="Palatino Linotype" w:eastAsia="Palatino Linotype" w:hAnsi="Palatino Linotype" w:cs="Palatino Linotype"/>
          <w:sz w:val="20"/>
          <w:szCs w:val="20"/>
        </w:rPr>
      </w:pPr>
    </w:p>
    <w:p w:rsidR="002A1594" w:rsidRDefault="00073D1D">
      <w:pPr>
        <w:ind w:left="108" w:right="102"/>
        <w:jc w:val="both"/>
        <w:rPr>
          <w:rFonts w:ascii="Palatino Linotype" w:eastAsia="Palatino Linotype" w:hAnsi="Palatino Linotype" w:cs="Palatino Linotype"/>
          <w:sz w:val="21"/>
          <w:szCs w:val="21"/>
        </w:rPr>
      </w:pPr>
      <w:r>
        <w:rPr>
          <w:rFonts w:ascii="Palatino Linotype" w:eastAsia="Palatino Linotype" w:hAnsi="Palatino Linotype" w:cs="Palatino Linotype"/>
          <w:position w:val="6"/>
          <w:sz w:val="13"/>
          <w:szCs w:val="13"/>
        </w:rPr>
        <w:t xml:space="preserve">13 </w:t>
      </w:r>
      <w:r>
        <w:rPr>
          <w:rFonts w:ascii="Palatino Linotype" w:eastAsia="Palatino Linotype" w:hAnsi="Palatino Linotype" w:cs="Palatino Linotype"/>
          <w:sz w:val="21"/>
          <w:szCs w:val="21"/>
        </w:rPr>
        <w:t>The Defendants ask that summary judgment be entered in their favor with respect to disability-based discrimination claims asserted on behalf of applicants who received offers of employment. (ECF</w:t>
      </w:r>
      <w:r>
        <w:rPr>
          <w:rFonts w:ascii="Palatino Linotype" w:eastAsia="Palatino Linotype" w:hAnsi="Palatino Linotype" w:cs="Palatino Linotype"/>
          <w:sz w:val="21"/>
          <w:szCs w:val="21"/>
        </w:rPr>
        <w:t xml:space="preserve"> No. 93 at 16). No such claims are being asserted in this case. The EEOC brings § 12112(a) claims only on behalf of applicants who were allegedly denied employment opportunities because of actual or perceived disabilities. (ECF No. 1 ¶ 12(g)). The claims b</w:t>
      </w:r>
      <w:r>
        <w:rPr>
          <w:rFonts w:ascii="Palatino Linotype" w:eastAsia="Palatino Linotype" w:hAnsi="Palatino Linotype" w:cs="Palatino Linotype"/>
          <w:sz w:val="21"/>
          <w:szCs w:val="21"/>
        </w:rPr>
        <w:t>rought on behalf of the successful applicants arise only under § 12112(d).  (</w:t>
      </w:r>
      <w:r>
        <w:rPr>
          <w:rFonts w:ascii="Palatino Linotype" w:eastAsia="Palatino Linotype" w:hAnsi="Palatino Linotype" w:cs="Palatino Linotype"/>
          <w:i/>
          <w:sz w:val="21"/>
          <w:szCs w:val="21"/>
        </w:rPr>
        <w:t xml:space="preserve">Id. </w:t>
      </w:r>
      <w:r>
        <w:rPr>
          <w:rFonts w:ascii="Palatino Linotype" w:eastAsia="Palatino Linotype" w:hAnsi="Palatino Linotype" w:cs="Palatino Linotype"/>
          <w:sz w:val="21"/>
          <w:szCs w:val="21"/>
        </w:rPr>
        <w:t>¶</w:t>
      </w:r>
      <w:r>
        <w:rPr>
          <w:rFonts w:ascii="Palatino Linotype" w:eastAsia="Palatino Linotype" w:hAnsi="Palatino Linotype" w:cs="Palatino Linotype"/>
          <w:spacing w:val="-22"/>
          <w:sz w:val="21"/>
          <w:szCs w:val="21"/>
        </w:rPr>
        <w:t xml:space="preserve"> </w:t>
      </w:r>
      <w:r>
        <w:rPr>
          <w:rFonts w:ascii="Palatino Linotype" w:eastAsia="Palatino Linotype" w:hAnsi="Palatino Linotype" w:cs="Palatino Linotype"/>
          <w:sz w:val="21"/>
          <w:szCs w:val="21"/>
        </w:rPr>
        <w:t>12(c)-(e)).</w:t>
      </w:r>
    </w:p>
    <w:p w:rsidR="002A1594" w:rsidRDefault="002A1594">
      <w:pPr>
        <w:spacing w:before="12"/>
        <w:rPr>
          <w:rFonts w:ascii="Palatino Linotype" w:eastAsia="Palatino Linotype" w:hAnsi="Palatino Linotype" w:cs="Palatino Linotype"/>
          <w:sz w:val="19"/>
          <w:szCs w:val="19"/>
        </w:rPr>
      </w:pPr>
    </w:p>
    <w:p w:rsidR="002A1594" w:rsidRDefault="00073D1D">
      <w:pPr>
        <w:pStyle w:val="BodyText"/>
        <w:ind w:left="4371" w:right="4369"/>
        <w:jc w:val="center"/>
      </w:pPr>
      <w:r>
        <w:t>43</w:t>
      </w:r>
    </w:p>
    <w:p w:rsidR="002A1594" w:rsidRDefault="002A1594">
      <w:pPr>
        <w:jc w:val="center"/>
        <w:sectPr w:rsidR="002A1594">
          <w:pgSz w:w="12240" w:h="15840"/>
          <w:pgMar w:top="540" w:right="162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101"/>
        <w:jc w:val="both"/>
        <w:rPr>
          <w:rFonts w:cs="Palatino Linotype"/>
        </w:rPr>
      </w:pPr>
      <w:r>
        <w:t xml:space="preserve">clear whether that framework is suited for a case such as this, which involves a series of hiring decisions involving a large number of applicants. In </w:t>
      </w:r>
      <w:r>
        <w:rPr>
          <w:rFonts w:cs="Palatino Linotype"/>
          <w:i/>
        </w:rPr>
        <w:t xml:space="preserve">Serrano </w:t>
      </w:r>
      <w:r>
        <w:rPr>
          <w:rFonts w:cs="Palatino Linotype"/>
          <w:i/>
          <w:spacing w:val="-6"/>
        </w:rPr>
        <w:t xml:space="preserve">v. </w:t>
      </w:r>
      <w:r>
        <w:rPr>
          <w:rFonts w:cs="Palatino Linotype"/>
          <w:i/>
        </w:rPr>
        <w:t>EEOC</w:t>
      </w:r>
      <w:r>
        <w:t xml:space="preserve">, 699 </w:t>
      </w:r>
      <w:r>
        <w:rPr>
          <w:spacing w:val="-4"/>
        </w:rPr>
        <w:t xml:space="preserve">F.3d </w:t>
      </w:r>
      <w:r>
        <w:t xml:space="preserve">884, 894-896 (6th </w:t>
      </w:r>
      <w:r>
        <w:rPr>
          <w:spacing w:val="-4"/>
        </w:rPr>
        <w:t xml:space="preserve">Cir. </w:t>
      </w:r>
      <w:r>
        <w:t>2012), the Sixth Circuit held that a case need not arise</w:t>
      </w:r>
      <w:r>
        <w:t xml:space="preserve"> under 42 U.S.C. § 2000e-6 in order to proceed under the framework utilized in </w:t>
      </w:r>
      <w:r>
        <w:rPr>
          <w:rFonts w:cs="Palatino Linotype"/>
          <w:i/>
        </w:rPr>
        <w:t xml:space="preserve">International Brotherhood of </w:t>
      </w:r>
      <w:r>
        <w:rPr>
          <w:rFonts w:cs="Palatino Linotype"/>
          <w:i/>
          <w:spacing w:val="-4"/>
        </w:rPr>
        <w:t xml:space="preserve">Teamsters </w:t>
      </w:r>
      <w:r>
        <w:rPr>
          <w:rFonts w:cs="Palatino Linotype"/>
          <w:i/>
          <w:spacing w:val="-6"/>
        </w:rPr>
        <w:t xml:space="preserve">v. </w:t>
      </w:r>
      <w:r>
        <w:rPr>
          <w:rFonts w:cs="Palatino Linotype"/>
          <w:i/>
        </w:rPr>
        <w:t>United States</w:t>
      </w:r>
      <w:r>
        <w:t xml:space="preserve">, 431 U.S. 324 (1977). In some respects, the </w:t>
      </w:r>
      <w:r>
        <w:rPr>
          <w:rFonts w:cs="Palatino Linotype"/>
          <w:i/>
          <w:spacing w:val="-4"/>
        </w:rPr>
        <w:t xml:space="preserve">Teamsters </w:t>
      </w:r>
      <w:r>
        <w:t>framework may not be an appropriate fit for claims arising under th</w:t>
      </w:r>
      <w:r>
        <w:t xml:space="preserve">e ADA. </w:t>
      </w:r>
      <w:r>
        <w:rPr>
          <w:rFonts w:cs="Palatino Linotype"/>
          <w:i/>
        </w:rPr>
        <w:t xml:space="preserve">Hohider </w:t>
      </w:r>
      <w:r>
        <w:rPr>
          <w:rFonts w:cs="Palatino Linotype"/>
          <w:i/>
          <w:spacing w:val="-6"/>
        </w:rPr>
        <w:t xml:space="preserve">v. </w:t>
      </w:r>
      <w:r>
        <w:rPr>
          <w:rFonts w:cs="Palatino Linotype"/>
          <w:i/>
        </w:rPr>
        <w:t>United Parcel Serv., Inc.</w:t>
      </w:r>
      <w:r>
        <w:t xml:space="preserve">, 574 </w:t>
      </w:r>
      <w:r>
        <w:rPr>
          <w:spacing w:val="-4"/>
        </w:rPr>
        <w:t xml:space="preserve">F.3d </w:t>
      </w:r>
      <w:r>
        <w:t xml:space="preserve">169, 183-98 (3d </w:t>
      </w:r>
      <w:r>
        <w:rPr>
          <w:spacing w:val="-4"/>
        </w:rPr>
        <w:t xml:space="preserve">Cir. </w:t>
      </w:r>
      <w:r>
        <w:t xml:space="preserve">2009). Nonetheless, the Court is not convinced that the individual § 12112(a) claims asserted in this case can be considered on a piecemeal basis, without regard to the evidentiary </w:t>
      </w:r>
      <w:r>
        <w:t xml:space="preserve">record as a whole. </w:t>
      </w:r>
      <w:r>
        <w:rPr>
          <w:rFonts w:cs="Palatino Linotype"/>
          <w:i/>
          <w:spacing w:val="-3"/>
        </w:rPr>
        <w:t>Teamsters</w:t>
      </w:r>
      <w:r>
        <w:rPr>
          <w:spacing w:val="-3"/>
        </w:rPr>
        <w:t xml:space="preserve">, </w:t>
      </w:r>
      <w:r>
        <w:t xml:space="preserve">431 U.S. at 358 n.44 (noting that </w:t>
      </w:r>
      <w:r>
        <w:rPr>
          <w:rFonts w:cs="Palatino Linotype"/>
          <w:i/>
        </w:rPr>
        <w:t xml:space="preserve">McDonnell Douglas </w:t>
      </w:r>
      <w:r>
        <w:rPr>
          <w:rFonts w:cs="Palatino Linotype"/>
        </w:rPr>
        <w:t xml:space="preserve">had “involved an individual claimant seeking to prove  one instance of unlawful discrimination”). </w:t>
      </w:r>
      <w:r>
        <w:t xml:space="preserve">At the present stage, </w:t>
      </w:r>
      <w:r>
        <w:rPr>
          <w:spacing w:val="-3"/>
        </w:rPr>
        <w:t xml:space="preserve">however, </w:t>
      </w:r>
      <w:r>
        <w:t>the claims will be evaluated under the standa</w:t>
      </w:r>
      <w:r>
        <w:t xml:space="preserve">rds discussed in </w:t>
      </w:r>
      <w:r>
        <w:rPr>
          <w:rFonts w:cs="Palatino Linotype"/>
          <w:i/>
        </w:rPr>
        <w:t xml:space="preserve">McDonnell Douglas </w:t>
      </w:r>
      <w:r>
        <w:t xml:space="preserve">and </w:t>
      </w:r>
      <w:r>
        <w:rPr>
          <w:rFonts w:cs="Palatino Linotype"/>
          <w:i/>
        </w:rPr>
        <w:t>Burdine</w:t>
      </w:r>
      <w:r>
        <w:t xml:space="preserve">.  </w:t>
      </w:r>
      <w:r>
        <w:rPr>
          <w:spacing w:val="-8"/>
        </w:rPr>
        <w:t xml:space="preserve">To  </w:t>
      </w:r>
      <w:r>
        <w:t>account for the fact that the disability-based discrimination claims asserted in this case all arise from the same hiring process, the Court will consider the overall context of the case in determining w</w:t>
      </w:r>
      <w:r>
        <w:t xml:space="preserve">hether triable issues exist in relation to the claims brought on behalf of specific applicants. </w:t>
      </w:r>
      <w:r>
        <w:rPr>
          <w:rFonts w:cs="Palatino Linotype"/>
          <w:i/>
          <w:spacing w:val="-4"/>
        </w:rPr>
        <w:t xml:space="preserve">Tomasso </w:t>
      </w:r>
      <w:r>
        <w:rPr>
          <w:rFonts w:cs="Palatino Linotype"/>
          <w:i/>
          <w:spacing w:val="-6"/>
        </w:rPr>
        <w:t xml:space="preserve">v. </w:t>
      </w:r>
      <w:r>
        <w:rPr>
          <w:rFonts w:cs="Palatino Linotype"/>
          <w:i/>
        </w:rPr>
        <w:t>Boeing Co.</w:t>
      </w:r>
      <w:r>
        <w:t xml:space="preserve">, 445 </w:t>
      </w:r>
      <w:r>
        <w:rPr>
          <w:spacing w:val="-6"/>
        </w:rPr>
        <w:t xml:space="preserve">F.3d </w:t>
      </w:r>
      <w:r>
        <w:t xml:space="preserve">702, 707 (3d </w:t>
      </w:r>
      <w:r>
        <w:rPr>
          <w:spacing w:val="-4"/>
        </w:rPr>
        <w:t xml:space="preserve">Cir. </w:t>
      </w:r>
      <w:r>
        <w:t xml:space="preserve">2006) (explaining that </w:t>
      </w:r>
      <w:r>
        <w:rPr>
          <w:rFonts w:cs="Palatino Linotype"/>
        </w:rPr>
        <w:t xml:space="preserve">“the rejection of some explanations may so undermine the employer </w:t>
      </w:r>
      <w:r>
        <w:rPr>
          <w:rFonts w:cs="Palatino Linotype"/>
          <w:spacing w:val="-13"/>
        </w:rPr>
        <w:t xml:space="preserve">’s </w:t>
      </w:r>
      <w:r>
        <w:rPr>
          <w:rFonts w:cs="Palatino Linotype"/>
        </w:rPr>
        <w:t xml:space="preserve">credibility as to </w:t>
      </w:r>
      <w:r>
        <w:t xml:space="preserve">enable a rational factfinder to disbelieve the remaining rationales, even where the </w:t>
      </w:r>
      <w:r>
        <w:rPr>
          <w:rFonts w:cs="Palatino Linotype"/>
        </w:rPr>
        <w:t>employee fails to produce evidence particular to those</w:t>
      </w:r>
      <w:r>
        <w:rPr>
          <w:rFonts w:cs="Palatino Linotype"/>
          <w:spacing w:val="-19"/>
        </w:rPr>
        <w:t xml:space="preserve"> </w:t>
      </w:r>
      <w:r>
        <w:rPr>
          <w:rFonts w:cs="Palatino Linotype"/>
        </w:rPr>
        <w:t>rationales”).</w:t>
      </w:r>
    </w:p>
    <w:p w:rsidR="002A1594" w:rsidRDefault="00073D1D">
      <w:pPr>
        <w:pStyle w:val="BodyText"/>
        <w:spacing w:before="0" w:line="480" w:lineRule="auto"/>
        <w:ind w:right="102" w:firstLine="719"/>
        <w:jc w:val="both"/>
      </w:pPr>
      <w:r>
        <w:t xml:space="preserve">In an employment discrimination case of this kind, the plaintiff must establish a </w:t>
      </w:r>
      <w:r>
        <w:rPr>
          <w:i/>
        </w:rPr>
        <w:t xml:space="preserve">prima facie </w:t>
      </w:r>
      <w:r>
        <w:t>case of i</w:t>
      </w:r>
      <w:r>
        <w:t xml:space="preserve">llegal discrimination.  </w:t>
      </w:r>
      <w:r>
        <w:rPr>
          <w:i/>
        </w:rPr>
        <w:t>McDonnell Douglas</w:t>
      </w:r>
      <w:r>
        <w:t xml:space="preserve">, 411 U.S. at 802.  If a </w:t>
      </w:r>
      <w:r>
        <w:rPr>
          <w:i/>
        </w:rPr>
        <w:t xml:space="preserve">prima  facie  </w:t>
      </w:r>
      <w:r>
        <w:t xml:space="preserve">case  is  established,  the  defendant  must  articulate  legitimate,   </w:t>
      </w:r>
      <w:r>
        <w:rPr>
          <w:spacing w:val="8"/>
        </w:rPr>
        <w:t xml:space="preserve"> </w:t>
      </w:r>
      <w:r>
        <w:t>nondiscriminatory</w:t>
      </w:r>
    </w:p>
    <w:p w:rsidR="002A1594" w:rsidRDefault="00073D1D">
      <w:pPr>
        <w:pStyle w:val="BodyText"/>
        <w:ind w:left="4371" w:right="4369"/>
        <w:jc w:val="center"/>
      </w:pPr>
      <w:r>
        <w:t>44</w:t>
      </w:r>
    </w:p>
    <w:p w:rsidR="002A1594" w:rsidRDefault="002A1594">
      <w:pPr>
        <w:jc w:val="center"/>
        <w:sectPr w:rsidR="002A1594">
          <w:pgSz w:w="12240" w:h="15840"/>
          <w:pgMar w:top="540" w:right="162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101"/>
        <w:jc w:val="both"/>
      </w:pPr>
      <w:r>
        <w:t xml:space="preserve">reasons for treating the plaintiff in an adverse </w:t>
      </w:r>
      <w:r>
        <w:rPr>
          <w:spacing w:val="-3"/>
        </w:rPr>
        <w:t xml:space="preserve">manner. </w:t>
      </w:r>
      <w:r>
        <w:rPr>
          <w:rFonts w:cs="Palatino Linotype"/>
          <w:i/>
        </w:rPr>
        <w:t xml:space="preserve">Id. </w:t>
      </w:r>
      <w:r>
        <w:t xml:space="preserve">at 802-03. If the defendant articulates such reasons, the plaintiff must then demonstrate that the reasons given by the defendant are merely a pretext for unlawful employment discrimination. </w:t>
      </w:r>
      <w:r>
        <w:rPr>
          <w:rFonts w:cs="Palatino Linotype"/>
          <w:i/>
        </w:rPr>
        <w:t xml:space="preserve">Id. </w:t>
      </w:r>
      <w:r>
        <w:t xml:space="preserve">at 804-05. </w:t>
      </w:r>
      <w:r>
        <w:rPr>
          <w:rFonts w:cs="Palatino Linotype"/>
        </w:rPr>
        <w:t>Evidence suggesting that an employer’s stated reas</w:t>
      </w:r>
      <w:r>
        <w:rPr>
          <w:rFonts w:cs="Palatino Linotype"/>
        </w:rPr>
        <w:t xml:space="preserve">ons for an adverse employment action </w:t>
      </w:r>
      <w:r>
        <w:t xml:space="preserve">are unworthy of credence is one form of circumstantial evidence that a plaintiff can use to establish the existence of intentional discrimination. </w:t>
      </w:r>
      <w:r>
        <w:rPr>
          <w:rFonts w:cs="Palatino Linotype"/>
          <w:i/>
        </w:rPr>
        <w:t xml:space="preserve">Desert Palace, Inc. </w:t>
      </w:r>
      <w:r>
        <w:rPr>
          <w:rFonts w:cs="Palatino Linotype"/>
          <w:i/>
          <w:spacing w:val="-8"/>
        </w:rPr>
        <w:t xml:space="preserve">v.  </w:t>
      </w:r>
      <w:r>
        <w:rPr>
          <w:rFonts w:cs="Palatino Linotype"/>
          <w:i/>
        </w:rPr>
        <w:t>Costa</w:t>
      </w:r>
      <w:r>
        <w:t>, 539 U.S.  90, 100</w:t>
      </w:r>
      <w:r>
        <w:rPr>
          <w:spacing w:val="-2"/>
        </w:rPr>
        <w:t xml:space="preserve"> </w:t>
      </w:r>
      <w:r>
        <w:t>(2003).</w:t>
      </w:r>
    </w:p>
    <w:p w:rsidR="002A1594" w:rsidRDefault="00073D1D">
      <w:pPr>
        <w:pStyle w:val="BodyText"/>
        <w:spacing w:before="0" w:line="480" w:lineRule="auto"/>
        <w:ind w:right="101" w:firstLine="719"/>
        <w:jc w:val="both"/>
      </w:pPr>
      <w:r>
        <w:rPr>
          <w:rFonts w:cs="Palatino Linotype"/>
        </w:rPr>
        <w:t>The plaintiff’s</w:t>
      </w:r>
      <w:r>
        <w:rPr>
          <w:rFonts w:cs="Palatino Linotype"/>
        </w:rPr>
        <w:t xml:space="preserve"> burden of establishing a </w:t>
      </w:r>
      <w:r>
        <w:rPr>
          <w:rFonts w:cs="Palatino Linotype"/>
          <w:i/>
        </w:rPr>
        <w:t xml:space="preserve">prima facie </w:t>
      </w:r>
      <w:r>
        <w:t xml:space="preserve">case of disparate treatment is not onerous. </w:t>
      </w:r>
      <w:r>
        <w:rPr>
          <w:rFonts w:cs="Palatino Linotype"/>
          <w:i/>
        </w:rPr>
        <w:t>Burdine</w:t>
      </w:r>
      <w:r>
        <w:t xml:space="preserve">, 450 U.S. at 253. </w:t>
      </w:r>
      <w:r>
        <w:rPr>
          <w:spacing w:val="-8"/>
        </w:rPr>
        <w:t xml:space="preserve">To </w:t>
      </w:r>
      <w:r>
        <w:t xml:space="preserve">establish a </w:t>
      </w:r>
      <w:r>
        <w:rPr>
          <w:rFonts w:cs="Palatino Linotype"/>
          <w:i/>
        </w:rPr>
        <w:t xml:space="preserve">prima facie </w:t>
      </w:r>
      <w:r>
        <w:t xml:space="preserve">case of discrimination, the plaintiff need only show that: (1) he or she was a member of a statutorily protected  </w:t>
      </w:r>
      <w:r>
        <w:rPr>
          <w:spacing w:val="42"/>
        </w:rPr>
        <w:t xml:space="preserve"> </w:t>
      </w:r>
      <w:r>
        <w:t>class;</w:t>
      </w:r>
    </w:p>
    <w:p w:rsidR="002A1594" w:rsidRDefault="00073D1D">
      <w:pPr>
        <w:pStyle w:val="BodyText"/>
        <w:spacing w:before="0" w:line="480" w:lineRule="auto"/>
        <w:ind w:right="102"/>
        <w:jc w:val="both"/>
        <w:rPr>
          <w:rFonts w:cs="Palatino Linotype"/>
        </w:rPr>
      </w:pPr>
      <w:r>
        <w:t xml:space="preserve">(2) he or she </w:t>
      </w:r>
      <w:r>
        <w:rPr>
          <w:spacing w:val="-3"/>
        </w:rPr>
        <w:t xml:space="preserve">was </w:t>
      </w:r>
      <w:r>
        <w:t xml:space="preserve">aggrieved by an adverse employment action; and (3) the adverse employment action occurred under circumstances giving rise to an inference of illegal discrimination. </w:t>
      </w:r>
      <w:r>
        <w:rPr>
          <w:rFonts w:cs="Palatino Linotype"/>
          <w:i/>
        </w:rPr>
        <w:t xml:space="preserve">Shah </w:t>
      </w:r>
      <w:r>
        <w:rPr>
          <w:rFonts w:cs="Palatino Linotype"/>
          <w:i/>
          <w:spacing w:val="-6"/>
        </w:rPr>
        <w:t xml:space="preserve">v. </w:t>
      </w:r>
      <w:r>
        <w:rPr>
          <w:rFonts w:cs="Palatino Linotype"/>
          <w:i/>
        </w:rPr>
        <w:t>Bank of Am.</w:t>
      </w:r>
      <w:r>
        <w:t xml:space="preserve">, 598 </w:t>
      </w:r>
      <w:r>
        <w:rPr>
          <w:spacing w:val="-8"/>
        </w:rPr>
        <w:t xml:space="preserve">F. </w:t>
      </w:r>
      <w:r>
        <w:t xml:space="preserve">Supp. 2d 596, 604 (D. Del. 2009). The specific elements of a </w:t>
      </w:r>
      <w:r>
        <w:rPr>
          <w:rFonts w:cs="Palatino Linotype"/>
          <w:i/>
        </w:rPr>
        <w:t xml:space="preserve">prima facie </w:t>
      </w:r>
      <w:r>
        <w:rPr>
          <w:rFonts w:cs="Palatino Linotype"/>
        </w:rPr>
        <w:t>case generally “depend on the facts of the particular case” before the court and “cannot be established on a one</w:t>
      </w:r>
      <w:r>
        <w:t>-size-fits-</w:t>
      </w:r>
      <w:r>
        <w:rPr>
          <w:rFonts w:cs="Palatino Linotype"/>
        </w:rPr>
        <w:t xml:space="preserve">all basis.” </w:t>
      </w:r>
      <w:r>
        <w:rPr>
          <w:rFonts w:cs="Palatino Linotype"/>
          <w:i/>
        </w:rPr>
        <w:t xml:space="preserve">Jones </w:t>
      </w:r>
      <w:r>
        <w:rPr>
          <w:rFonts w:cs="Palatino Linotype"/>
          <w:i/>
          <w:spacing w:val="-6"/>
        </w:rPr>
        <w:t xml:space="preserve">v.  </w:t>
      </w:r>
      <w:r>
        <w:rPr>
          <w:rFonts w:cs="Palatino Linotype"/>
          <w:i/>
        </w:rPr>
        <w:t>Sch. Dist. of  Phila.</w:t>
      </w:r>
      <w:r>
        <w:t xml:space="preserve">, 198 </w:t>
      </w:r>
      <w:r>
        <w:rPr>
          <w:spacing w:val="-4"/>
        </w:rPr>
        <w:t xml:space="preserve">F.3d </w:t>
      </w:r>
      <w:r>
        <w:t>403, 4</w:t>
      </w:r>
      <w:r>
        <w:t xml:space="preserve">11 (3d </w:t>
      </w:r>
      <w:r>
        <w:rPr>
          <w:spacing w:val="-3"/>
        </w:rPr>
        <w:t xml:space="preserve">Cir. </w:t>
      </w:r>
      <w:r>
        <w:t xml:space="preserve">1999). The </w:t>
      </w:r>
      <w:r>
        <w:rPr>
          <w:rFonts w:cs="Palatino Linotype"/>
          <w:i/>
        </w:rPr>
        <w:t xml:space="preserve">prima facie </w:t>
      </w:r>
      <w:r>
        <w:rPr>
          <w:rFonts w:cs="Palatino Linotype"/>
        </w:rPr>
        <w:t xml:space="preserve">inquiry “remains flexible and must </w:t>
      </w:r>
      <w:r>
        <w:t>be tailored to fit the specific co</w:t>
      </w:r>
      <w:r>
        <w:rPr>
          <w:rFonts w:cs="Palatino Linotype"/>
        </w:rPr>
        <w:t xml:space="preserve">ntext in which it is applied.” </w:t>
      </w:r>
      <w:r>
        <w:rPr>
          <w:rFonts w:cs="Palatino Linotype"/>
          <w:i/>
        </w:rPr>
        <w:t xml:space="preserve">Sarullo </w:t>
      </w:r>
      <w:r>
        <w:rPr>
          <w:rFonts w:cs="Palatino Linotype"/>
          <w:i/>
          <w:spacing w:val="-6"/>
        </w:rPr>
        <w:t xml:space="preserve">v. </w:t>
      </w:r>
      <w:r>
        <w:rPr>
          <w:rFonts w:cs="Palatino Linotype"/>
          <w:i/>
        </w:rPr>
        <w:t>United States Postal Serv.</w:t>
      </w:r>
      <w:r>
        <w:t xml:space="preserve">, 352 </w:t>
      </w:r>
      <w:r>
        <w:rPr>
          <w:spacing w:val="-4"/>
        </w:rPr>
        <w:t xml:space="preserve">F.3d </w:t>
      </w:r>
      <w:r>
        <w:t xml:space="preserve">789, 797-98 (3d </w:t>
      </w:r>
      <w:r>
        <w:rPr>
          <w:spacing w:val="-4"/>
        </w:rPr>
        <w:t xml:space="preserve">Cir. </w:t>
      </w:r>
      <w:r>
        <w:t xml:space="preserve">2003). Because the </w:t>
      </w:r>
      <w:r>
        <w:rPr>
          <w:rFonts w:cs="Palatino Linotype"/>
          <w:i/>
        </w:rPr>
        <w:t xml:space="preserve">prima facie </w:t>
      </w:r>
      <w:r>
        <w:t>inquiry in any case i</w:t>
      </w:r>
      <w:r>
        <w:t xml:space="preserve">s fact- </w:t>
      </w:r>
      <w:r>
        <w:rPr>
          <w:rFonts w:cs="Palatino Linotype"/>
        </w:rPr>
        <w:t xml:space="preserve">specific, “[t]he touchstone of the inquiry is whether the circumstances giving rise to an </w:t>
      </w:r>
      <w:r>
        <w:t xml:space="preserve">inference of discrimination are of </w:t>
      </w:r>
      <w:r>
        <w:rPr>
          <w:rFonts w:cs="Palatino Linotype"/>
          <w:i/>
        </w:rPr>
        <w:t>evidentiary value</w:t>
      </w:r>
      <w:r>
        <w:t xml:space="preserve">, not whether they fit into a mechanical </w:t>
      </w:r>
      <w:r>
        <w:rPr>
          <w:rFonts w:cs="Palatino Linotype"/>
        </w:rPr>
        <w:t xml:space="preserve">formula.”  </w:t>
      </w:r>
      <w:r>
        <w:rPr>
          <w:rFonts w:cs="Palatino Linotype"/>
          <w:i/>
        </w:rPr>
        <w:t xml:space="preserve">Cobetto </w:t>
      </w:r>
      <w:r>
        <w:rPr>
          <w:rFonts w:cs="Palatino Linotype"/>
          <w:i/>
          <w:spacing w:val="-6"/>
        </w:rPr>
        <w:t xml:space="preserve">v. </w:t>
      </w:r>
      <w:r>
        <w:rPr>
          <w:rFonts w:cs="Palatino Linotype"/>
          <w:i/>
        </w:rPr>
        <w:t>Wyeth Pharm.</w:t>
      </w:r>
      <w:r>
        <w:t xml:space="preserve">, 619 </w:t>
      </w:r>
      <w:r>
        <w:rPr>
          <w:spacing w:val="-8"/>
        </w:rPr>
        <w:t xml:space="preserve">F. </w:t>
      </w:r>
      <w:r>
        <w:t xml:space="preserve">Supp. 2d 142, 153 n.3 </w:t>
      </w:r>
      <w:r>
        <w:rPr>
          <w:spacing w:val="-4"/>
        </w:rPr>
        <w:t xml:space="preserve">(W.D. </w:t>
      </w:r>
      <w:r>
        <w:rPr>
          <w:spacing w:val="-3"/>
        </w:rPr>
        <w:t xml:space="preserve">Pa. </w:t>
      </w:r>
      <w:r>
        <w:t xml:space="preserve">2007) (emphasis  in original) (citation omitted).      </w:t>
      </w:r>
      <w:r>
        <w:rPr>
          <w:spacing w:val="40"/>
        </w:rPr>
        <w:t xml:space="preserve"> </w:t>
      </w:r>
      <w:r>
        <w:t xml:space="preserve">A </w:t>
      </w:r>
      <w:r>
        <w:rPr>
          <w:rFonts w:cs="Palatino Linotype"/>
          <w:i/>
        </w:rPr>
        <w:t xml:space="preserve">prima facie </w:t>
      </w:r>
      <w:r>
        <w:rPr>
          <w:rFonts w:cs="Palatino Linotype"/>
        </w:rPr>
        <w:t>case “raises an inference of discrimination”</w:t>
      </w:r>
    </w:p>
    <w:p w:rsidR="002A1594" w:rsidRDefault="00073D1D">
      <w:pPr>
        <w:pStyle w:val="BodyText"/>
        <w:ind w:left="4371" w:right="4369"/>
        <w:jc w:val="center"/>
      </w:pPr>
      <w:r>
        <w:t>45</w:t>
      </w:r>
    </w:p>
    <w:p w:rsidR="002A1594" w:rsidRDefault="002A1594">
      <w:pPr>
        <w:jc w:val="center"/>
        <w:sectPr w:rsidR="002A1594">
          <w:pgSz w:w="12240" w:h="15840"/>
          <w:pgMar w:top="540" w:right="162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101"/>
        <w:jc w:val="both"/>
        <w:rPr>
          <w:rFonts w:cs="Palatino Linotype"/>
        </w:rPr>
      </w:pPr>
      <w:r>
        <w:t xml:space="preserve">sufficient to shift the burden of production to the defendant. </w:t>
      </w:r>
      <w:r>
        <w:rPr>
          <w:rFonts w:cs="Palatino Linotype"/>
          <w:i/>
        </w:rPr>
        <w:t xml:space="preserve">Furnco </w:t>
      </w:r>
      <w:r>
        <w:rPr>
          <w:rFonts w:cs="Palatino Linotype"/>
          <w:i/>
          <w:spacing w:val="-3"/>
        </w:rPr>
        <w:t xml:space="preserve">Constr.  </w:t>
      </w:r>
      <w:r>
        <w:rPr>
          <w:rFonts w:cs="Palatino Linotype"/>
          <w:i/>
        </w:rPr>
        <w:t xml:space="preserve">Corp. </w:t>
      </w:r>
      <w:r>
        <w:rPr>
          <w:rFonts w:cs="Palatino Linotype"/>
          <w:i/>
          <w:spacing w:val="-6"/>
        </w:rPr>
        <w:t xml:space="preserve">v.  </w:t>
      </w:r>
      <w:r>
        <w:rPr>
          <w:rFonts w:cs="Palatino Linotype"/>
          <w:i/>
        </w:rPr>
        <w:t>Waters</w:t>
      </w:r>
      <w:r>
        <w:t xml:space="preserve">, 438 U.S. 567, 577 (1978). This inference is based on an assumption that certain </w:t>
      </w:r>
      <w:r>
        <w:rPr>
          <w:rFonts w:cs="Palatino Linotype"/>
        </w:rPr>
        <w:t xml:space="preserve">actions, if left unexplained, “are more likely than not based </w:t>
      </w:r>
      <w:r>
        <w:rPr>
          <w:rFonts w:cs="Palatino Linotype"/>
          <w:spacing w:val="2"/>
        </w:rPr>
        <w:t>o</w:t>
      </w:r>
      <w:r>
        <w:rPr>
          <w:spacing w:val="2"/>
        </w:rPr>
        <w:t xml:space="preserve">n </w:t>
      </w:r>
      <w:r>
        <w:t xml:space="preserve">the consideration of </w:t>
      </w:r>
      <w:r>
        <w:rPr>
          <w:rFonts w:cs="Palatino Linotype"/>
        </w:rPr>
        <w:t>impermissible factors.”</w:t>
      </w:r>
      <w:r>
        <w:rPr>
          <w:rFonts w:cs="Palatino Linotype"/>
          <w:spacing w:val="51"/>
        </w:rPr>
        <w:t xml:space="preserve"> </w:t>
      </w:r>
      <w:r>
        <w:rPr>
          <w:rFonts w:cs="Palatino Linotype"/>
          <w:i/>
        </w:rPr>
        <w:t>Id.</w:t>
      </w:r>
    </w:p>
    <w:p w:rsidR="002A1594" w:rsidRDefault="00073D1D">
      <w:pPr>
        <w:pStyle w:val="BodyText"/>
        <w:spacing w:before="0" w:line="480" w:lineRule="auto"/>
        <w:ind w:right="103" w:firstLine="719"/>
        <w:jc w:val="both"/>
        <w:rPr>
          <w:rFonts w:cs="Palatino Linotype"/>
        </w:rPr>
      </w:pPr>
      <w:r>
        <w:t xml:space="preserve">If the plaintiff establishes a </w:t>
      </w:r>
      <w:r>
        <w:rPr>
          <w:rFonts w:cs="Palatino Linotype"/>
          <w:i/>
        </w:rPr>
        <w:t xml:space="preserve">prima facie </w:t>
      </w:r>
      <w:r>
        <w:t>case of discrimin</w:t>
      </w:r>
      <w:r>
        <w:t xml:space="preserve">ation, the burden shifts to the defendant to rebut the presumption of discrimination through the introduction of admissible evidence indicating that the challenged employment action was taken for legitimate, nondiscriminatory reasons. </w:t>
      </w:r>
      <w:r>
        <w:rPr>
          <w:rFonts w:cs="Palatino Linotype"/>
          <w:i/>
        </w:rPr>
        <w:t>Burdine</w:t>
      </w:r>
      <w:r>
        <w:t xml:space="preserve">, 450 U.S. at </w:t>
      </w:r>
      <w:r>
        <w:t xml:space="preserve">254-55. </w:t>
      </w:r>
      <w:r>
        <w:rPr>
          <w:spacing w:val="-8"/>
        </w:rPr>
        <w:t xml:space="preserve">To </w:t>
      </w:r>
      <w:r>
        <w:t xml:space="preserve">sustain this burden, </w:t>
      </w:r>
      <w:r>
        <w:rPr>
          <w:rFonts w:cs="Palatino Linotype"/>
        </w:rPr>
        <w:t xml:space="preserve">“[t]he defendant need not persuade the court that it was actually motivated by the proffered reasons.” </w:t>
      </w:r>
      <w:r>
        <w:rPr>
          <w:rFonts w:cs="Palatino Linotype"/>
          <w:i/>
        </w:rPr>
        <w:t xml:space="preserve">Id. </w:t>
      </w:r>
      <w:r>
        <w:t xml:space="preserve">at 254. </w:t>
      </w:r>
      <w:r>
        <w:rPr>
          <w:spacing w:val="-2"/>
        </w:rPr>
        <w:t xml:space="preserve">The </w:t>
      </w:r>
      <w:r>
        <w:t xml:space="preserve">inquiry concerning whether the defendant has met its </w:t>
      </w:r>
      <w:r>
        <w:rPr>
          <w:rFonts w:cs="Palatino Linotype"/>
        </w:rPr>
        <w:t xml:space="preserve">burden “can </w:t>
      </w:r>
      <w:r>
        <w:rPr>
          <w:rFonts w:cs="Palatino Linotype"/>
          <w:spacing w:val="-3"/>
        </w:rPr>
        <w:t xml:space="preserve">involve </w:t>
      </w:r>
      <w:r>
        <w:rPr>
          <w:rFonts w:cs="Palatino Linotype"/>
        </w:rPr>
        <w:t>no credibility assessment,” sinc</w:t>
      </w:r>
      <w:r>
        <w:rPr>
          <w:rFonts w:cs="Palatino Linotype"/>
        </w:rPr>
        <w:t>e “the burden</w:t>
      </w:r>
      <w:r>
        <w:t xml:space="preserve">-of-production determination necessarily </w:t>
      </w:r>
      <w:r>
        <w:rPr>
          <w:rFonts w:cs="Palatino Linotype"/>
          <w:i/>
        </w:rPr>
        <w:t xml:space="preserve">precedes </w:t>
      </w:r>
      <w:r>
        <w:t>the credibility-</w:t>
      </w:r>
      <w:r>
        <w:rPr>
          <w:rFonts w:cs="Palatino Linotype"/>
        </w:rPr>
        <w:t xml:space="preserve">assessment stage.”  </w:t>
      </w:r>
      <w:r>
        <w:rPr>
          <w:rFonts w:cs="Palatino Linotype"/>
          <w:i/>
        </w:rPr>
        <w:t xml:space="preserve">St. Mary’s Honor </w:t>
      </w:r>
      <w:r>
        <w:rPr>
          <w:rFonts w:cs="Palatino Linotype"/>
          <w:i/>
          <w:spacing w:val="20"/>
        </w:rPr>
        <w:t xml:space="preserve"> </w:t>
      </w:r>
      <w:r>
        <w:rPr>
          <w:rFonts w:cs="Palatino Linotype"/>
          <w:i/>
          <w:spacing w:val="-5"/>
        </w:rPr>
        <w:t>Ctr.</w:t>
      </w:r>
    </w:p>
    <w:p w:rsidR="002A1594" w:rsidRDefault="00073D1D">
      <w:pPr>
        <w:pStyle w:val="BodyText"/>
        <w:spacing w:before="0" w:line="480" w:lineRule="auto"/>
        <w:ind w:right="103"/>
        <w:jc w:val="both"/>
        <w:rPr>
          <w:rFonts w:cs="Palatino Linotype"/>
        </w:rPr>
      </w:pPr>
      <w:r>
        <w:rPr>
          <w:rFonts w:cs="Palatino Linotype"/>
          <w:i/>
          <w:spacing w:val="-6"/>
        </w:rPr>
        <w:t xml:space="preserve">v. </w:t>
      </w:r>
      <w:r>
        <w:rPr>
          <w:rFonts w:cs="Palatino Linotype"/>
          <w:i/>
        </w:rPr>
        <w:t>Hicks</w:t>
      </w:r>
      <w:r>
        <w:t xml:space="preserve">, 509 U.S. 502, 509 (1993) (emphasis in original). The defendant satisfies its burden </w:t>
      </w:r>
      <w:r>
        <w:rPr>
          <w:rFonts w:cs="Palatino Linotype"/>
        </w:rPr>
        <w:t>of production, and rebuts the plaintiff’</w:t>
      </w:r>
      <w:r>
        <w:rPr>
          <w:rFonts w:cs="Palatino Linotype"/>
        </w:rPr>
        <w:t xml:space="preserve">s </w:t>
      </w:r>
      <w:r>
        <w:rPr>
          <w:rFonts w:cs="Palatino Linotype"/>
          <w:i/>
        </w:rPr>
        <w:t xml:space="preserve">prima facie </w:t>
      </w:r>
      <w:r>
        <w:t xml:space="preserve">showing of discrimination, simply by introducing admissible evidence that, </w:t>
      </w:r>
      <w:r>
        <w:rPr>
          <w:rFonts w:cs="Palatino Linotype"/>
          <w:i/>
        </w:rPr>
        <w:t>if taken as true</w:t>
      </w:r>
      <w:r>
        <w:t xml:space="preserve">, would </w:t>
      </w:r>
      <w:r>
        <w:rPr>
          <w:rFonts w:cs="Palatino Linotype"/>
          <w:i/>
        </w:rPr>
        <w:t xml:space="preserve">permit </w:t>
      </w:r>
      <w:r>
        <w:t>a finding that the challenged employment action was taken for legitimate, nondiscriminatory reasons.</w:t>
      </w:r>
      <w:r>
        <w:rPr>
          <w:spacing w:val="33"/>
        </w:rPr>
        <w:t xml:space="preserve"> </w:t>
      </w:r>
      <w:r>
        <w:rPr>
          <w:rFonts w:cs="Palatino Linotype"/>
          <w:i/>
        </w:rPr>
        <w:t>Id.</w:t>
      </w:r>
    </w:p>
    <w:p w:rsidR="002A1594" w:rsidRDefault="00073D1D">
      <w:pPr>
        <w:pStyle w:val="BodyText"/>
        <w:spacing w:before="0" w:line="480" w:lineRule="auto"/>
        <w:ind w:right="101" w:firstLine="719"/>
        <w:jc w:val="both"/>
      </w:pPr>
      <w:r>
        <w:t>If the defendant meets its burd</w:t>
      </w:r>
      <w:r>
        <w:t xml:space="preserve">en of production, the dispositive factual issue is </w:t>
      </w:r>
      <w:r>
        <w:rPr>
          <w:rFonts w:cs="Palatino Linotype"/>
        </w:rPr>
        <w:t>framed with “sufficient clarity” to provide the plaintiff with “a full and fair op</w:t>
      </w:r>
      <w:r>
        <w:t xml:space="preserve">portunity   </w:t>
      </w:r>
      <w:r>
        <w:rPr>
          <w:rFonts w:cs="Palatino Linotype"/>
        </w:rPr>
        <w:t xml:space="preserve">to demonstrate pretext.” </w:t>
      </w:r>
      <w:r>
        <w:rPr>
          <w:rFonts w:cs="Palatino Linotype"/>
          <w:i/>
        </w:rPr>
        <w:t>Burdine</w:t>
      </w:r>
      <w:r>
        <w:t xml:space="preserve">, 450 U.S. at 255-56. </w:t>
      </w:r>
      <w:r>
        <w:rPr>
          <w:spacing w:val="-8"/>
        </w:rPr>
        <w:t xml:space="preserve">To </w:t>
      </w:r>
      <w:r>
        <w:t xml:space="preserve">establish that the defendant is </w:t>
      </w:r>
      <w:r>
        <w:t xml:space="preserve">liable for illegal employment discrimination, the plaintiff must ultimately convince the factfinder that a discriminatory animus was the </w:t>
      </w:r>
      <w:r>
        <w:rPr>
          <w:rFonts w:cs="Palatino Linotype"/>
          <w:i/>
        </w:rPr>
        <w:t xml:space="preserve">real reason </w:t>
      </w:r>
      <w:r>
        <w:t xml:space="preserve">for the adverse employment action  at  issue.   </w:t>
      </w:r>
      <w:r>
        <w:rPr>
          <w:rFonts w:cs="Palatino Linotype"/>
          <w:i/>
        </w:rPr>
        <w:t xml:space="preserve">Fuentes  </w:t>
      </w:r>
      <w:r>
        <w:rPr>
          <w:rFonts w:cs="Palatino Linotype"/>
          <w:i/>
          <w:spacing w:val="-6"/>
        </w:rPr>
        <w:t xml:space="preserve">v.  </w:t>
      </w:r>
      <w:r>
        <w:rPr>
          <w:rFonts w:cs="Palatino Linotype"/>
          <w:i/>
        </w:rPr>
        <w:t>Perskie</w:t>
      </w:r>
      <w:r>
        <w:t xml:space="preserve">,  32  </w:t>
      </w:r>
      <w:r>
        <w:rPr>
          <w:spacing w:val="-5"/>
        </w:rPr>
        <w:t xml:space="preserve">F.3d  </w:t>
      </w:r>
      <w:r>
        <w:t xml:space="preserve">759,  765  (3d  </w:t>
      </w:r>
      <w:r>
        <w:rPr>
          <w:spacing w:val="-4"/>
        </w:rPr>
        <w:t xml:space="preserve">Cir.  </w:t>
      </w:r>
      <w:r>
        <w:t>1994</w:t>
      </w:r>
      <w:r>
        <w:t>).</w:t>
      </w:r>
      <w:r>
        <w:rPr>
          <w:spacing w:val="11"/>
        </w:rPr>
        <w:t xml:space="preserve"> </w:t>
      </w:r>
      <w:r>
        <w:t>Liability  cannot  be</w:t>
      </w:r>
    </w:p>
    <w:p w:rsidR="002A1594" w:rsidRDefault="00073D1D">
      <w:pPr>
        <w:pStyle w:val="BodyText"/>
        <w:ind w:left="4371" w:right="4369"/>
        <w:jc w:val="center"/>
      </w:pPr>
      <w:r>
        <w:t>46</w:t>
      </w:r>
    </w:p>
    <w:p w:rsidR="002A1594" w:rsidRDefault="002A1594">
      <w:pPr>
        <w:jc w:val="center"/>
        <w:sectPr w:rsidR="002A1594">
          <w:pgSz w:w="12240" w:h="15840"/>
          <w:pgMar w:top="540" w:right="162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101"/>
        <w:jc w:val="both"/>
      </w:pPr>
      <w:r>
        <w:rPr>
          <w:rFonts w:cs="Palatino Linotype"/>
        </w:rPr>
        <w:t xml:space="preserve">established upon a </w:t>
      </w:r>
      <w:r>
        <w:rPr>
          <w:rFonts w:cs="Palatino Linotype"/>
          <w:spacing w:val="-5"/>
        </w:rPr>
        <w:t xml:space="preserve">jury’s </w:t>
      </w:r>
      <w:r>
        <w:rPr>
          <w:rFonts w:cs="Palatino Linotype"/>
        </w:rPr>
        <w:t xml:space="preserve">mere </w:t>
      </w:r>
      <w:r>
        <w:rPr>
          <w:rFonts w:cs="Palatino Linotype"/>
          <w:i/>
        </w:rPr>
        <w:t xml:space="preserve">disbelief </w:t>
      </w:r>
      <w:r>
        <w:rPr>
          <w:rFonts w:cs="Palatino Linotype"/>
        </w:rPr>
        <w:t xml:space="preserve">of the </w:t>
      </w:r>
      <w:r>
        <w:rPr>
          <w:rFonts w:cs="Palatino Linotype"/>
          <w:spacing w:val="-3"/>
        </w:rPr>
        <w:t xml:space="preserve">defendant’s </w:t>
      </w:r>
      <w:r>
        <w:rPr>
          <w:rFonts w:cs="Palatino Linotype"/>
        </w:rPr>
        <w:t xml:space="preserve">proffered reasons for an adverse employment action, but rather upon the </w:t>
      </w:r>
      <w:r>
        <w:rPr>
          <w:rFonts w:cs="Palatino Linotype"/>
          <w:spacing w:val="-5"/>
        </w:rPr>
        <w:t xml:space="preserve">jury’s </w:t>
      </w:r>
      <w:r>
        <w:rPr>
          <w:rFonts w:cs="Palatino Linotype"/>
          <w:i/>
        </w:rPr>
        <w:t xml:space="preserve">affirmative belief </w:t>
      </w:r>
      <w:r>
        <w:rPr>
          <w:rFonts w:cs="Palatino Linotype"/>
        </w:rPr>
        <w:t xml:space="preserve">of the plaintiff’s contention </w:t>
      </w:r>
      <w:r>
        <w:t xml:space="preserve">that the action was taken based on an impermissible discriminatory criterion. </w:t>
      </w:r>
      <w:r>
        <w:rPr>
          <w:rFonts w:cs="Palatino Linotype"/>
          <w:i/>
        </w:rPr>
        <w:t xml:space="preserve">St. Mary’s Honor </w:t>
      </w:r>
      <w:r>
        <w:rPr>
          <w:rFonts w:cs="Palatino Linotype"/>
          <w:i/>
          <w:spacing w:val="-5"/>
        </w:rPr>
        <w:t>Ctr.</w:t>
      </w:r>
      <w:r>
        <w:rPr>
          <w:rFonts w:cs="Palatino Linotype"/>
          <w:spacing w:val="-5"/>
        </w:rPr>
        <w:t xml:space="preserve">, </w:t>
      </w:r>
      <w:r>
        <w:rPr>
          <w:rFonts w:cs="Palatino Linotype"/>
        </w:rPr>
        <w:t xml:space="preserve">509 U.S. at 519 (“It is not enough, in other words, to </w:t>
      </w:r>
      <w:r>
        <w:rPr>
          <w:rFonts w:cs="Palatino Linotype"/>
          <w:i/>
        </w:rPr>
        <w:t>dis</w:t>
      </w:r>
      <w:r>
        <w:t xml:space="preserve">believe the employer;  the factfinder must </w:t>
      </w:r>
      <w:r>
        <w:rPr>
          <w:rFonts w:cs="Palatino Linotype"/>
          <w:i/>
        </w:rPr>
        <w:t xml:space="preserve">believe </w:t>
      </w:r>
      <w:r>
        <w:t>t</w:t>
      </w:r>
      <w:r>
        <w:rPr>
          <w:rFonts w:cs="Palatino Linotype"/>
        </w:rPr>
        <w:t>he plaintiff’s explanation of intentional dis</w:t>
      </w:r>
      <w:r>
        <w:rPr>
          <w:rFonts w:cs="Palatino Linotype"/>
        </w:rPr>
        <w:t xml:space="preserve">crimination.”) (emphasis in original). Nevertheless, evidence suggesting that an employer’s proffered reasons for an adverse employment action are false, when coupled with a plaintiff’s </w:t>
      </w:r>
      <w:r>
        <w:rPr>
          <w:rFonts w:cs="Palatino Linotype"/>
          <w:i/>
        </w:rPr>
        <w:t xml:space="preserve">prima facie </w:t>
      </w:r>
      <w:r>
        <w:t>case, may su</w:t>
      </w:r>
      <w:r>
        <w:rPr>
          <w:rFonts w:cs="Palatino Linotype"/>
        </w:rPr>
        <w:t>fficiently undermine the employer’s credibilit</w:t>
      </w:r>
      <w:r>
        <w:rPr>
          <w:rFonts w:cs="Palatino Linotype"/>
        </w:rPr>
        <w:t xml:space="preserve">y to enable a reasonable </w:t>
      </w:r>
      <w:r>
        <w:t xml:space="preserve">factfinder to conclude that illegal discrimination has occurred. </w:t>
      </w:r>
      <w:r>
        <w:rPr>
          <w:rFonts w:cs="Palatino Linotype"/>
          <w:i/>
        </w:rPr>
        <w:t xml:space="preserve">Reeves </w:t>
      </w:r>
      <w:r>
        <w:rPr>
          <w:rFonts w:cs="Palatino Linotype"/>
          <w:i/>
          <w:spacing w:val="-6"/>
        </w:rPr>
        <w:t xml:space="preserve">v. </w:t>
      </w:r>
      <w:r>
        <w:rPr>
          <w:rFonts w:cs="Palatino Linotype"/>
          <w:i/>
        </w:rPr>
        <w:t>Sanderson  Plumbing Prods., Inc.</w:t>
      </w:r>
      <w:r>
        <w:t xml:space="preserve">, 530 U.S. 133, 147-48 (2000). Evidence used to establish a </w:t>
      </w:r>
      <w:r>
        <w:rPr>
          <w:rFonts w:cs="Palatino Linotype"/>
          <w:i/>
        </w:rPr>
        <w:t xml:space="preserve">prima facie </w:t>
      </w:r>
      <w:r>
        <w:t>case of discrimination may also be relied upon to de</w:t>
      </w:r>
      <w:r>
        <w:t xml:space="preserve">monstrate pretext, since nothing  about the </w:t>
      </w:r>
      <w:r>
        <w:rPr>
          <w:rFonts w:cs="Palatino Linotype"/>
          <w:i/>
        </w:rPr>
        <w:t xml:space="preserve">McDonnell Douglas-Burdine </w:t>
      </w:r>
      <w:r>
        <w:t xml:space="preserve">burden-shifting framework requires a court to ration the evidence presented in a particular case among the </w:t>
      </w:r>
      <w:r>
        <w:rPr>
          <w:rFonts w:cs="Palatino Linotype"/>
          <w:i/>
        </w:rPr>
        <w:t xml:space="preserve">prima facie </w:t>
      </w:r>
      <w:r>
        <w:t xml:space="preserve">and pretext stages of the analysis. </w:t>
      </w:r>
      <w:r>
        <w:rPr>
          <w:rFonts w:cs="Palatino Linotype"/>
          <w:i/>
        </w:rPr>
        <w:t xml:space="preserve">Doe </w:t>
      </w:r>
      <w:r>
        <w:rPr>
          <w:rFonts w:cs="Palatino Linotype"/>
          <w:i/>
          <w:spacing w:val="-6"/>
        </w:rPr>
        <w:t xml:space="preserve">v. </w:t>
      </w:r>
      <w:r>
        <w:rPr>
          <w:rFonts w:cs="Palatino Linotype"/>
          <w:i/>
        </w:rPr>
        <w:t>C.A.R.S. Protection Plus, Inc.</w:t>
      </w:r>
      <w:r>
        <w:t xml:space="preserve">, 527 </w:t>
      </w:r>
      <w:r>
        <w:rPr>
          <w:spacing w:val="-5"/>
        </w:rPr>
        <w:t xml:space="preserve">F.3d </w:t>
      </w:r>
      <w:r>
        <w:t xml:space="preserve">358, 370 (3d </w:t>
      </w:r>
      <w:r>
        <w:rPr>
          <w:spacing w:val="-4"/>
        </w:rPr>
        <w:t xml:space="preserve">Cir. </w:t>
      </w:r>
      <w:r>
        <w:t xml:space="preserve">2008). Proof that an </w:t>
      </w:r>
      <w:r>
        <w:rPr>
          <w:rFonts w:cs="Palatino Linotype"/>
        </w:rPr>
        <w:t xml:space="preserve">employer’s explanation for an adverse employment action is unworthy of credence can be </w:t>
      </w:r>
      <w:r>
        <w:t>a powerful form of circumstantial evidence that is probative of intentional discriminatio</w:t>
      </w:r>
      <w:r>
        <w:t xml:space="preserve">n. </w:t>
      </w:r>
      <w:r>
        <w:rPr>
          <w:rFonts w:cs="Palatino Linotype"/>
          <w:i/>
        </w:rPr>
        <w:t>Reeves</w:t>
      </w:r>
      <w:r>
        <w:t xml:space="preserve">, 530 U.S. at 147. Circumstantial evidence is not only sufficient to sustain a finding  </w:t>
      </w:r>
      <w:r>
        <w:rPr>
          <w:rFonts w:cs="Palatino Linotype"/>
        </w:rPr>
        <w:t xml:space="preserve">of liability for intentional discrimination, “but may also be more certain, satisfying and persuasive than direct evidence.” </w:t>
      </w:r>
      <w:r>
        <w:rPr>
          <w:rFonts w:cs="Palatino Linotype"/>
          <w:i/>
        </w:rPr>
        <w:t>Desert Palace</w:t>
      </w:r>
      <w:r>
        <w:t>, 539 U.S. at 100, qu</w:t>
      </w:r>
      <w:r>
        <w:t xml:space="preserve">oting </w:t>
      </w:r>
      <w:r>
        <w:rPr>
          <w:rFonts w:cs="Palatino Linotype"/>
          <w:i/>
        </w:rPr>
        <w:t xml:space="preserve">Rogers </w:t>
      </w:r>
      <w:r>
        <w:rPr>
          <w:rFonts w:cs="Palatino Linotype"/>
          <w:i/>
          <w:spacing w:val="-6"/>
        </w:rPr>
        <w:t xml:space="preserve">v. </w:t>
      </w:r>
      <w:r>
        <w:rPr>
          <w:rFonts w:cs="Palatino Linotype"/>
          <w:i/>
        </w:rPr>
        <w:t>Missouri Pacific R.R. Co.</w:t>
      </w:r>
      <w:r>
        <w:t xml:space="preserve">, 352 U.S. 500, 508 n.17 (1957). Depending on the circumstances of the particular case, a plaintiff can sometimes prevail based on circumstantial evidence  </w:t>
      </w:r>
      <w:r>
        <w:rPr>
          <w:rFonts w:cs="Palatino Linotype"/>
        </w:rPr>
        <w:t>without  introducing  “additional,  independent evidence  o</w:t>
      </w:r>
      <w:r>
        <w:rPr>
          <w:rFonts w:cs="Palatino Linotype"/>
        </w:rPr>
        <w:t xml:space="preserve">f  discrimination.”   </w:t>
      </w:r>
      <w:r>
        <w:rPr>
          <w:rFonts w:cs="Palatino Linotype"/>
          <w:i/>
        </w:rPr>
        <w:t>Reeves</w:t>
      </w:r>
      <w:r>
        <w:t>,</w:t>
      </w:r>
      <w:r>
        <w:rPr>
          <w:spacing w:val="-17"/>
        </w:rPr>
        <w:t xml:space="preserve"> </w:t>
      </w:r>
      <w:r>
        <w:t>530</w:t>
      </w:r>
    </w:p>
    <w:p w:rsidR="002A1594" w:rsidRDefault="00073D1D">
      <w:pPr>
        <w:pStyle w:val="BodyText"/>
        <w:ind w:left="4371" w:right="4369"/>
        <w:jc w:val="center"/>
      </w:pPr>
      <w:r>
        <w:t>47</w:t>
      </w:r>
    </w:p>
    <w:p w:rsidR="002A1594" w:rsidRDefault="002A1594">
      <w:pPr>
        <w:jc w:val="center"/>
        <w:sectPr w:rsidR="002A1594">
          <w:pgSz w:w="12240" w:h="15840"/>
          <w:pgMar w:top="540" w:right="162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106"/>
        <w:jc w:val="both"/>
      </w:pPr>
      <w:r>
        <w:t xml:space="preserve">U.S. at 149. Whether summary judgment is warranted in a given case depends upon the </w:t>
      </w:r>
      <w:r>
        <w:rPr>
          <w:rFonts w:cs="Palatino Linotype"/>
        </w:rPr>
        <w:t xml:space="preserve">strength of the plaintiff’s </w:t>
      </w:r>
      <w:r>
        <w:rPr>
          <w:rFonts w:cs="Palatino Linotype"/>
          <w:i/>
        </w:rPr>
        <w:t xml:space="preserve">prima facie </w:t>
      </w:r>
      <w:r>
        <w:t xml:space="preserve">case, the probative </w:t>
      </w:r>
      <w:r>
        <w:rPr>
          <w:spacing w:val="-3"/>
        </w:rPr>
        <w:t xml:space="preserve">value </w:t>
      </w:r>
      <w:r>
        <w:t xml:space="preserve">of the evidence discrediting </w:t>
      </w:r>
      <w:r>
        <w:rPr>
          <w:rFonts w:cs="Palatino Linotype"/>
        </w:rPr>
        <w:t xml:space="preserve">the </w:t>
      </w:r>
      <w:r>
        <w:rPr>
          <w:rFonts w:cs="Palatino Linotype"/>
          <w:spacing w:val="-3"/>
        </w:rPr>
        <w:t xml:space="preserve">defendant’s </w:t>
      </w:r>
      <w:r>
        <w:rPr>
          <w:rFonts w:cs="Palatino Linotype"/>
        </w:rPr>
        <w:t>proffe</w:t>
      </w:r>
      <w:r>
        <w:t>r</w:t>
      </w:r>
      <w:r>
        <w:t xml:space="preserve">ed reasons for the challenged employment action, and the presence or absence of additional evidence that may properly be considered by a court in determining whether a judgment as a matter of law is appropriate.  </w:t>
      </w:r>
      <w:r>
        <w:rPr>
          <w:rFonts w:cs="Palatino Linotype"/>
          <w:i/>
        </w:rPr>
        <w:t xml:space="preserve">Id. </w:t>
      </w:r>
      <w:r>
        <w:t>at</w:t>
      </w:r>
      <w:r>
        <w:rPr>
          <w:spacing w:val="-16"/>
        </w:rPr>
        <w:t xml:space="preserve"> </w:t>
      </w:r>
      <w:r>
        <w:t>148-49.</w:t>
      </w:r>
    </w:p>
    <w:p w:rsidR="002A1594" w:rsidRDefault="00073D1D">
      <w:pPr>
        <w:pStyle w:val="BodyText"/>
        <w:spacing w:before="1" w:line="480" w:lineRule="auto"/>
        <w:ind w:right="101" w:firstLine="719"/>
        <w:jc w:val="both"/>
      </w:pPr>
      <w:r>
        <w:t>For present purposes, the De</w:t>
      </w:r>
      <w:r>
        <w:t xml:space="preserve">fendants concede that the 26 unsuccessful applicants </w:t>
      </w:r>
      <w:r>
        <w:rPr>
          <w:rFonts w:cs="Palatino Linotype"/>
        </w:rPr>
        <w:t xml:space="preserve">identified by the EEOC were “disabled” at the time of their rejection. </w:t>
      </w:r>
      <w:r>
        <w:t xml:space="preserve">(ECF No. 130 at 1). The EEOC would ordinarily need to demonstrate that the Defendants were </w:t>
      </w:r>
      <w:r>
        <w:rPr>
          <w:spacing w:val="-3"/>
        </w:rPr>
        <w:t xml:space="preserve">aware </w:t>
      </w:r>
      <w:r>
        <w:t xml:space="preserve">of the </w:t>
      </w:r>
      <w:r>
        <w:rPr>
          <w:rFonts w:cs="Palatino Linotype"/>
        </w:rPr>
        <w:t xml:space="preserve">applicants’ disabilities </w:t>
      </w:r>
      <w:r>
        <w:t xml:space="preserve">as </w:t>
      </w:r>
      <w:r>
        <w:t xml:space="preserve">a part of its </w:t>
      </w:r>
      <w:r>
        <w:rPr>
          <w:rFonts w:cs="Palatino Linotype"/>
          <w:i/>
        </w:rPr>
        <w:t xml:space="preserve">prima facie </w:t>
      </w:r>
      <w:r>
        <w:t xml:space="preserve">case. </w:t>
      </w:r>
      <w:r>
        <w:rPr>
          <w:rFonts w:cs="Palatino Linotype"/>
          <w:i/>
        </w:rPr>
        <w:t>Geraci</w:t>
      </w:r>
      <w:r>
        <w:t xml:space="preserve">, 82 </w:t>
      </w:r>
      <w:r>
        <w:rPr>
          <w:spacing w:val="-4"/>
        </w:rPr>
        <w:t xml:space="preserve">F.3d </w:t>
      </w:r>
      <w:r>
        <w:t xml:space="preserve">at 581; </w:t>
      </w:r>
      <w:r>
        <w:rPr>
          <w:rFonts w:cs="Palatino Linotype"/>
          <w:i/>
        </w:rPr>
        <w:t xml:space="preserve">Hedberg </w:t>
      </w:r>
      <w:r>
        <w:rPr>
          <w:rFonts w:cs="Palatino Linotype"/>
          <w:i/>
          <w:spacing w:val="-6"/>
        </w:rPr>
        <w:t xml:space="preserve">v. </w:t>
      </w:r>
      <w:r>
        <w:rPr>
          <w:rFonts w:cs="Palatino Linotype"/>
          <w:i/>
        </w:rPr>
        <w:t xml:space="preserve">Indiana Bell </w:t>
      </w:r>
      <w:r>
        <w:rPr>
          <w:rFonts w:cs="Palatino Linotype"/>
          <w:i/>
          <w:spacing w:val="-4"/>
        </w:rPr>
        <w:t xml:space="preserve">Telephone </w:t>
      </w:r>
      <w:r>
        <w:rPr>
          <w:rFonts w:cs="Palatino Linotype"/>
          <w:i/>
        </w:rPr>
        <w:t>Co., Inc.</w:t>
      </w:r>
      <w:r>
        <w:t xml:space="preserve">, 47 </w:t>
      </w:r>
      <w:r>
        <w:rPr>
          <w:spacing w:val="-4"/>
        </w:rPr>
        <w:t xml:space="preserve">F.3d </w:t>
      </w:r>
      <w:r>
        <w:t xml:space="preserve">928, 932-933 (7th </w:t>
      </w:r>
      <w:r>
        <w:rPr>
          <w:spacing w:val="-4"/>
        </w:rPr>
        <w:t xml:space="preserve">Cir. </w:t>
      </w:r>
      <w:r>
        <w:t xml:space="preserve">1995). Under the present </w:t>
      </w:r>
      <w:r>
        <w:rPr>
          <w:rFonts w:cs="Palatino Linotype"/>
        </w:rPr>
        <w:t xml:space="preserve">circumstances, </w:t>
      </w:r>
      <w:r>
        <w:rPr>
          <w:rFonts w:cs="Palatino Linotype"/>
          <w:spacing w:val="-3"/>
        </w:rPr>
        <w:t xml:space="preserve">however, </w:t>
      </w:r>
      <w:r>
        <w:rPr>
          <w:rFonts w:cs="Palatino Linotype"/>
        </w:rPr>
        <w:t xml:space="preserve">the Defendants’ awareness of the disabilities can be inferred from </w:t>
      </w:r>
      <w:r>
        <w:t xml:space="preserve">the fact that each applicant was unlawfully subjected to a pre-offer medical examination. </w:t>
      </w:r>
      <w:r>
        <w:rPr>
          <w:rFonts w:cs="Palatino Linotype"/>
          <w:i/>
        </w:rPr>
        <w:t xml:space="preserve">Sedelnik </w:t>
      </w:r>
      <w:r>
        <w:rPr>
          <w:rFonts w:cs="Palatino Linotype"/>
          <w:i/>
          <w:spacing w:val="-6"/>
        </w:rPr>
        <w:t xml:space="preserve">v. </w:t>
      </w:r>
      <w:r>
        <w:rPr>
          <w:rFonts w:cs="Palatino Linotype"/>
          <w:i/>
        </w:rPr>
        <w:t>City of Bridgeport</w:t>
      </w:r>
      <w:r>
        <w:t xml:space="preserve">, 837 </w:t>
      </w:r>
      <w:r>
        <w:rPr>
          <w:spacing w:val="-8"/>
        </w:rPr>
        <w:t xml:space="preserve">F. </w:t>
      </w:r>
      <w:r>
        <w:t xml:space="preserve">Supp. 2d 12, 18 (D. Conn. 2011) (permitting knowledge </w:t>
      </w:r>
      <w:r>
        <w:rPr>
          <w:rFonts w:cs="Palatino Linotype"/>
        </w:rPr>
        <w:t xml:space="preserve">of an </w:t>
      </w:r>
      <w:r>
        <w:rPr>
          <w:rFonts w:cs="Palatino Linotype"/>
          <w:spacing w:val="-3"/>
        </w:rPr>
        <w:t xml:space="preserve">individual’s </w:t>
      </w:r>
      <w:r>
        <w:rPr>
          <w:rFonts w:cs="Palatino Linotype"/>
        </w:rPr>
        <w:t>protected status to be inferred from an employer’s acc</w:t>
      </w:r>
      <w:r>
        <w:rPr>
          <w:rFonts w:cs="Palatino Linotype"/>
        </w:rPr>
        <w:t>e</w:t>
      </w:r>
      <w:r>
        <w:t xml:space="preserve">ss to personnel records procured during the course of an interviewing process). </w:t>
      </w:r>
      <w:r>
        <w:rPr>
          <w:spacing w:val="-2"/>
        </w:rPr>
        <w:t xml:space="preserve">The  </w:t>
      </w:r>
      <w:r>
        <w:t xml:space="preserve">employees who  were not hired obviously suffered adverse employment actions. </w:t>
      </w:r>
      <w:r>
        <w:rPr>
          <w:rFonts w:cs="Palatino Linotype"/>
          <w:i/>
        </w:rPr>
        <w:t xml:space="preserve">Putaro </w:t>
      </w:r>
      <w:r>
        <w:rPr>
          <w:rFonts w:cs="Palatino Linotype"/>
          <w:i/>
          <w:spacing w:val="-6"/>
        </w:rPr>
        <w:t xml:space="preserve">v. </w:t>
      </w:r>
      <w:r>
        <w:rPr>
          <w:rFonts w:cs="Palatino Linotype"/>
          <w:i/>
        </w:rPr>
        <w:t>Carlynton Sch. Dist.</w:t>
      </w:r>
      <w:r>
        <w:t xml:space="preserve">, 615 </w:t>
      </w:r>
      <w:r>
        <w:rPr>
          <w:spacing w:val="-8"/>
        </w:rPr>
        <w:t xml:space="preserve">F. </w:t>
      </w:r>
      <w:r>
        <w:t xml:space="preserve">Supp. 2d 390, 396 </w:t>
      </w:r>
      <w:r>
        <w:rPr>
          <w:spacing w:val="-5"/>
        </w:rPr>
        <w:t xml:space="preserve">(W.D. </w:t>
      </w:r>
      <w:r>
        <w:rPr>
          <w:spacing w:val="-3"/>
        </w:rPr>
        <w:t xml:space="preserve">Pa. </w:t>
      </w:r>
      <w:r>
        <w:t xml:space="preserve">2009); </w:t>
      </w:r>
      <w:r>
        <w:rPr>
          <w:rFonts w:cs="Palatino Linotype"/>
          <w:i/>
        </w:rPr>
        <w:t xml:space="preserve">Johnson </w:t>
      </w:r>
      <w:r>
        <w:rPr>
          <w:rFonts w:cs="Palatino Linotype"/>
          <w:i/>
          <w:spacing w:val="-6"/>
        </w:rPr>
        <w:t xml:space="preserve">v. </w:t>
      </w:r>
      <w:r>
        <w:rPr>
          <w:rFonts w:cs="Palatino Linotype"/>
          <w:i/>
          <w:spacing w:val="-3"/>
        </w:rPr>
        <w:t xml:space="preserve">Cmty. </w:t>
      </w:r>
      <w:r>
        <w:rPr>
          <w:rFonts w:cs="Palatino Linotype"/>
          <w:i/>
        </w:rPr>
        <w:t>Co</w:t>
      </w:r>
      <w:r>
        <w:rPr>
          <w:rFonts w:cs="Palatino Linotype"/>
          <w:i/>
        </w:rPr>
        <w:t>llege of Allegheny Cnty.</w:t>
      </w:r>
      <w:r>
        <w:t xml:space="preserve">, 566 </w:t>
      </w:r>
      <w:r>
        <w:rPr>
          <w:spacing w:val="-8"/>
        </w:rPr>
        <w:t xml:space="preserve">F. </w:t>
      </w:r>
      <w:r>
        <w:t xml:space="preserve">Supp. 2d 405, 430 </w:t>
      </w:r>
      <w:r>
        <w:rPr>
          <w:spacing w:val="-4"/>
        </w:rPr>
        <w:t xml:space="preserve">(W.D. </w:t>
      </w:r>
      <w:r>
        <w:rPr>
          <w:spacing w:val="-3"/>
        </w:rPr>
        <w:t xml:space="preserve">Pa. </w:t>
      </w:r>
      <w:r>
        <w:t>2008). In an affidavit executed on July 8, 2013, Lengle acknowledged that she had reviewed the medical records to determine whether each applicant had been cleared to work for the CCC. (ECF No. 9</w:t>
      </w:r>
      <w:r>
        <w:t xml:space="preserve">9-2 ¶¶ 43-44). At a minimum, the   circumstances   surrounding   the   hiring   process   </w:t>
      </w:r>
      <w:r>
        <w:rPr>
          <w:spacing w:val="-3"/>
        </w:rPr>
        <w:t xml:space="preserve">give   </w:t>
      </w:r>
      <w:r>
        <w:t xml:space="preserve">rise   to   an   inference    </w:t>
      </w:r>
      <w:r>
        <w:rPr>
          <w:spacing w:val="31"/>
        </w:rPr>
        <w:t xml:space="preserve"> </w:t>
      </w:r>
      <w:r>
        <w:t>of</w:t>
      </w:r>
    </w:p>
    <w:p w:rsidR="002A1594" w:rsidRDefault="002A1594">
      <w:pPr>
        <w:rPr>
          <w:rFonts w:ascii="Palatino Linotype" w:eastAsia="Palatino Linotype" w:hAnsi="Palatino Linotype" w:cs="Palatino Linotype"/>
          <w:sz w:val="20"/>
          <w:szCs w:val="20"/>
        </w:rPr>
      </w:pPr>
    </w:p>
    <w:p w:rsidR="002A1594" w:rsidRDefault="002A1594">
      <w:pPr>
        <w:spacing w:before="12"/>
        <w:rPr>
          <w:rFonts w:ascii="Palatino Linotype" w:eastAsia="Palatino Linotype" w:hAnsi="Palatino Linotype" w:cs="Palatino Linotype"/>
          <w:sz w:val="23"/>
          <w:szCs w:val="23"/>
        </w:rPr>
      </w:pPr>
    </w:p>
    <w:p w:rsidR="002A1594" w:rsidRDefault="00073D1D">
      <w:pPr>
        <w:pStyle w:val="BodyText"/>
        <w:ind w:left="4371" w:right="4369"/>
        <w:jc w:val="center"/>
      </w:pPr>
      <w:r>
        <w:t>48</w:t>
      </w:r>
    </w:p>
    <w:p w:rsidR="002A1594" w:rsidRDefault="002A1594">
      <w:pPr>
        <w:jc w:val="center"/>
        <w:sectPr w:rsidR="002A1594">
          <w:pgSz w:w="12240" w:h="15840"/>
          <w:pgMar w:top="540" w:right="162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ind w:right="64"/>
      </w:pPr>
      <w:r>
        <w:t xml:space="preserve">discrimination sufficient to shift the burden of production to the Defendants.  </w:t>
      </w:r>
      <w:r>
        <w:rPr>
          <w:i/>
        </w:rPr>
        <w:t>Burdine</w:t>
      </w:r>
      <w:r>
        <w:t>,</w:t>
      </w:r>
      <w:r>
        <w:rPr>
          <w:spacing w:val="22"/>
        </w:rPr>
        <w:t xml:space="preserve"> </w:t>
      </w:r>
      <w:r>
        <w:t>450</w:t>
      </w:r>
    </w:p>
    <w:p w:rsidR="002A1594" w:rsidRDefault="002A1594">
      <w:pPr>
        <w:spacing w:before="13"/>
        <w:rPr>
          <w:rFonts w:ascii="Palatino Linotype" w:eastAsia="Palatino Linotype" w:hAnsi="Palatino Linotype" w:cs="Palatino Linotype"/>
          <w:sz w:val="21"/>
          <w:szCs w:val="21"/>
        </w:rPr>
      </w:pPr>
    </w:p>
    <w:p w:rsidR="002A1594" w:rsidRDefault="00073D1D">
      <w:pPr>
        <w:pStyle w:val="BodyText"/>
        <w:spacing w:before="0"/>
        <w:ind w:right="64"/>
      </w:pPr>
      <w:r>
        <w:t>U.S. at</w:t>
      </w:r>
      <w:r>
        <w:rPr>
          <w:spacing w:val="-3"/>
        </w:rPr>
        <w:t xml:space="preserve"> </w:t>
      </w:r>
      <w:r>
        <w:t>254-56.</w:t>
      </w:r>
    </w:p>
    <w:p w:rsidR="002A1594" w:rsidRDefault="002A1594">
      <w:pPr>
        <w:spacing w:before="2"/>
        <w:rPr>
          <w:rFonts w:ascii="Palatino Linotype" w:eastAsia="Palatino Linotype" w:hAnsi="Palatino Linotype" w:cs="Palatino Linotype"/>
        </w:rPr>
      </w:pPr>
    </w:p>
    <w:p w:rsidR="002A1594" w:rsidRDefault="00073D1D">
      <w:pPr>
        <w:pStyle w:val="BodyText"/>
        <w:spacing w:before="0" w:line="480" w:lineRule="auto"/>
        <w:ind w:right="102" w:firstLine="719"/>
        <w:jc w:val="both"/>
      </w:pPr>
      <w:r>
        <w:rPr>
          <w:rFonts w:cs="Palatino Linotype"/>
        </w:rPr>
        <w:t xml:space="preserve">Rebecca Nelen (“Nelen”) served as the </w:t>
      </w:r>
      <w:r>
        <w:rPr>
          <w:rFonts w:cs="Palatino Linotype"/>
          <w:spacing w:val="-5"/>
        </w:rPr>
        <w:t xml:space="preserve">LCNRC’s </w:t>
      </w:r>
      <w:r>
        <w:t xml:space="preserve">Director of  Nursing in  2009. (ECF No. 116-11 at 4). In her affidavit, Lengle declared that 12 of the  individuals  </w:t>
      </w:r>
      <w:r>
        <w:rPr>
          <w:rFonts w:cs="Palatino Linotype"/>
        </w:rPr>
        <w:t xml:space="preserve">identified as “disabled” by the EEOC were not hired because they had received “poor </w:t>
      </w:r>
      <w:r>
        <w:rPr>
          <w:rFonts w:cs="Palatino Linotype"/>
        </w:rPr>
        <w:t xml:space="preserve">references” from Nelen. </w:t>
      </w:r>
      <w:r>
        <w:t xml:space="preserve">(ECF No. 99-2 ¶¶ 34-35). During a deposition, </w:t>
      </w:r>
      <w:r>
        <w:rPr>
          <w:spacing w:val="-3"/>
        </w:rPr>
        <w:t xml:space="preserve">however, </w:t>
      </w:r>
      <w:r>
        <w:t xml:space="preserve">Nelen testified that it was </w:t>
      </w:r>
      <w:r>
        <w:rPr>
          <w:rFonts w:cs="Palatino Linotype"/>
        </w:rPr>
        <w:t xml:space="preserve">not her practice to “give references.” </w:t>
      </w:r>
      <w:r>
        <w:t xml:space="preserve">(ECF No. 116-11 at 6).  </w:t>
      </w:r>
      <w:r>
        <w:rPr>
          <w:spacing w:val="-2"/>
        </w:rPr>
        <w:t>She</w:t>
      </w:r>
      <w:r>
        <w:rPr>
          <w:spacing w:val="51"/>
        </w:rPr>
        <w:t xml:space="preserve"> </w:t>
      </w:r>
      <w:r>
        <w:rPr>
          <w:rFonts w:cs="Palatino Linotype"/>
        </w:rPr>
        <w:t xml:space="preserve">denied that she had provided Lengle with “references” in connection with </w:t>
      </w:r>
      <w:r>
        <w:rPr>
          <w:rFonts w:cs="Palatino Linotype"/>
          <w:spacing w:val="-4"/>
        </w:rPr>
        <w:t xml:space="preserve">Grane’s </w:t>
      </w:r>
      <w:r>
        <w:rPr>
          <w:rFonts w:cs="Palatino Linotype"/>
        </w:rPr>
        <w:t>h</w:t>
      </w:r>
      <w:r>
        <w:rPr>
          <w:rFonts w:cs="Palatino Linotype"/>
        </w:rPr>
        <w:t xml:space="preserve">iring </w:t>
      </w:r>
      <w:r>
        <w:t>process.</w:t>
      </w:r>
      <w:r>
        <w:rPr>
          <w:position w:val="6"/>
          <w:sz w:val="13"/>
          <w:szCs w:val="13"/>
        </w:rPr>
        <w:t xml:space="preserve">14   </w:t>
      </w:r>
      <w:r>
        <w:t>(</w:t>
      </w:r>
      <w:r>
        <w:rPr>
          <w:rFonts w:cs="Palatino Linotype"/>
          <w:i/>
        </w:rPr>
        <w:t xml:space="preserve">Id. </w:t>
      </w:r>
      <w:r>
        <w:t>at</w:t>
      </w:r>
      <w:r>
        <w:rPr>
          <w:spacing w:val="7"/>
        </w:rPr>
        <w:t xml:space="preserve"> </w:t>
      </w:r>
      <w:r>
        <w:t>6-7).</w:t>
      </w:r>
    </w:p>
    <w:p w:rsidR="002A1594" w:rsidRDefault="00073D1D">
      <w:pPr>
        <w:pStyle w:val="BodyText"/>
        <w:spacing w:before="0" w:line="480" w:lineRule="auto"/>
        <w:ind w:right="101" w:firstLine="719"/>
        <w:jc w:val="both"/>
      </w:pPr>
      <w:r>
        <w:t>After discovery began in this case, the Defendants provided the EEOC with documentary evidence suggesting that Clay Si</w:t>
      </w:r>
      <w:r>
        <w:rPr>
          <w:rFonts w:cs="Palatino Linotype"/>
        </w:rPr>
        <w:t>dor (“</w:t>
      </w:r>
      <w:r>
        <w:t>Sidor</w:t>
      </w:r>
      <w:r>
        <w:rPr>
          <w:rFonts w:cs="Palatino Linotype"/>
        </w:rPr>
        <w:t xml:space="preserve">”) had not been hired because of </w:t>
      </w:r>
      <w:r>
        <w:t>information obtained through a criminal background check. (EC</w:t>
      </w:r>
      <w:r>
        <w:t>F No. 98-12 at 8). Nonetheless, the record indicates that Sidor had no criminal record.  (ECF No. 116-44 at  7)</w:t>
      </w:r>
      <w:r>
        <w:rPr>
          <w:rFonts w:cs="Palatino Linotype"/>
        </w:rPr>
        <w:t xml:space="preserve">.   Kristopher  Przybylek (“Przybylek”), </w:t>
      </w:r>
      <w:r>
        <w:rPr>
          <w:rFonts w:cs="Palatino Linotype"/>
          <w:spacing w:val="-5"/>
        </w:rPr>
        <w:t xml:space="preserve">Grane’s  </w:t>
      </w:r>
      <w:r>
        <w:rPr>
          <w:rFonts w:cs="Palatino Linotype"/>
        </w:rPr>
        <w:t xml:space="preserve">Vice  President of  Nutritional </w:t>
      </w:r>
      <w:r>
        <w:rPr>
          <w:rFonts w:cs="Palatino Linotype"/>
          <w:spacing w:val="11"/>
        </w:rPr>
        <w:t xml:space="preserve"> </w:t>
      </w:r>
      <w:r>
        <w:rPr>
          <w:rFonts w:cs="Palatino Linotype"/>
        </w:rPr>
        <w:t>Serv</w:t>
      </w:r>
      <w:r>
        <w:t>ices,</w:t>
      </w:r>
    </w:p>
    <w:p w:rsidR="002A1594" w:rsidRDefault="002A1594">
      <w:pPr>
        <w:spacing w:before="13"/>
        <w:rPr>
          <w:rFonts w:ascii="Palatino Linotype" w:eastAsia="Palatino Linotype" w:hAnsi="Palatino Linotype" w:cs="Palatino Linotype"/>
          <w:sz w:val="7"/>
          <w:szCs w:val="7"/>
        </w:rPr>
      </w:pPr>
    </w:p>
    <w:p w:rsidR="002A1594" w:rsidRDefault="00073D1D">
      <w:pPr>
        <w:spacing w:line="20" w:lineRule="exact"/>
        <w:ind w:left="102"/>
        <w:rPr>
          <w:rFonts w:ascii="Palatino Linotype" w:eastAsia="Palatino Linotype" w:hAnsi="Palatino Linotype" w:cs="Palatino Linotype"/>
          <w:sz w:val="2"/>
          <w:szCs w:val="2"/>
        </w:rPr>
      </w:pPr>
      <w:r>
        <w:rPr>
          <w:rFonts w:ascii="Palatino Linotype" w:eastAsia="Palatino Linotype" w:hAnsi="Palatino Linotype" w:cs="Palatino Linotype"/>
          <w:sz w:val="2"/>
          <w:szCs w:val="2"/>
        </w:rPr>
      </w:r>
      <w:r>
        <w:rPr>
          <w:rFonts w:ascii="Palatino Linotype" w:eastAsia="Palatino Linotype" w:hAnsi="Palatino Linotype" w:cs="Palatino Linotype"/>
          <w:sz w:val="2"/>
          <w:szCs w:val="2"/>
        </w:rPr>
        <w:pict>
          <v:group id="_x0000_s1039" style="width:144.65pt;height:.6pt;mso-position-horizontal-relative:char;mso-position-vertical-relative:line" coordsize="2893,12">
            <v:group id="_x0000_s1040" style="position:absolute;left:6;top:6;width:2881;height:2" coordorigin="6,6" coordsize="2881,2">
              <v:shape id="_x0000_s1041" style="position:absolute;left:6;top:6;width:2881;height:2" coordorigin="6,6" coordsize="2881,0" path="m6,6r2880,e" filled="f" strokeweight=".6pt">
                <v:path arrowok="t"/>
              </v:shape>
            </v:group>
            <w10:wrap type="none"/>
            <w10:anchorlock/>
          </v:group>
        </w:pict>
      </w:r>
    </w:p>
    <w:p w:rsidR="002A1594" w:rsidRDefault="002A1594">
      <w:pPr>
        <w:spacing w:before="2"/>
        <w:rPr>
          <w:rFonts w:ascii="Palatino Linotype" w:eastAsia="Palatino Linotype" w:hAnsi="Palatino Linotype" w:cs="Palatino Linotype"/>
          <w:sz w:val="5"/>
          <w:szCs w:val="5"/>
        </w:rPr>
      </w:pPr>
    </w:p>
    <w:p w:rsidR="002A1594" w:rsidRDefault="00073D1D">
      <w:pPr>
        <w:spacing w:before="33"/>
        <w:ind w:left="108" w:right="101"/>
        <w:jc w:val="both"/>
        <w:rPr>
          <w:rFonts w:ascii="Palatino Linotype" w:eastAsia="Palatino Linotype" w:hAnsi="Palatino Linotype" w:cs="Palatino Linotype"/>
          <w:sz w:val="21"/>
          <w:szCs w:val="21"/>
        </w:rPr>
      </w:pPr>
      <w:r>
        <w:rPr>
          <w:rFonts w:ascii="Palatino Linotype" w:eastAsia="Palatino Linotype" w:hAnsi="Palatino Linotype" w:cs="Palatino Linotype"/>
          <w:position w:val="6"/>
          <w:sz w:val="13"/>
          <w:szCs w:val="13"/>
        </w:rPr>
        <w:t xml:space="preserve">14 </w:t>
      </w:r>
      <w:r>
        <w:rPr>
          <w:rFonts w:ascii="Palatino Linotype" w:eastAsia="Palatino Linotype" w:hAnsi="Palatino Linotype" w:cs="Palatino Linotype"/>
          <w:sz w:val="21"/>
          <w:szCs w:val="21"/>
        </w:rPr>
        <w:t>Lengle declared that a thirteenth applicant, Dana Fresch (“Fresch”), had been denied employment because of a “poor reference” from the LCNRC’s Director of Housekeeping, Greta Jones (“Jones”). (ECF No. 99-2 ¶ 36). The</w:t>
      </w:r>
      <w:r>
        <w:rPr>
          <w:rFonts w:ascii="Palatino Linotype" w:eastAsia="Palatino Linotype" w:hAnsi="Palatino Linotype" w:cs="Palatino Linotype"/>
          <w:sz w:val="21"/>
          <w:szCs w:val="21"/>
        </w:rPr>
        <w:t xml:space="preserve"> EEOC asks the Court to strike the portion of Lengle’s affidavit pertaining to Fresch on the ground that Jones was not identified as a potential witness at a time when she could have been deposed. (ECF No. 114 at 29-30). The Court need not consider the EEO</w:t>
      </w:r>
      <w:r>
        <w:rPr>
          <w:rFonts w:ascii="Palatino Linotype" w:eastAsia="Palatino Linotype" w:hAnsi="Palatino Linotype" w:cs="Palatino Linotype"/>
          <w:sz w:val="21"/>
          <w:szCs w:val="21"/>
        </w:rPr>
        <w:t>C’s objection at this time, since the Defendants’ motion for summary judgment will be denied in any event. Because the EEOC has cast doubt on the Defendants’ asserted reasons for rejecting the 12 applicants alleged to have received negative references from</w:t>
      </w:r>
      <w:r>
        <w:rPr>
          <w:rFonts w:ascii="Palatino Linotype" w:eastAsia="Palatino Linotype" w:hAnsi="Palatino Linotype" w:cs="Palatino Linotype"/>
          <w:sz w:val="21"/>
          <w:szCs w:val="21"/>
        </w:rPr>
        <w:t xml:space="preserve"> Nelen, a reasonable trier of fact may infer that the similar reason given for Fresch’s rejection is not credible. </w:t>
      </w:r>
      <w:r>
        <w:rPr>
          <w:rFonts w:ascii="Palatino Linotype" w:eastAsia="Palatino Linotype" w:hAnsi="Palatino Linotype" w:cs="Palatino Linotype"/>
          <w:i/>
          <w:sz w:val="21"/>
          <w:szCs w:val="21"/>
        </w:rPr>
        <w:t>Fuentes v. Perskie</w:t>
      </w:r>
      <w:r>
        <w:rPr>
          <w:rFonts w:ascii="Palatino Linotype" w:eastAsia="Palatino Linotype" w:hAnsi="Palatino Linotype" w:cs="Palatino Linotype"/>
          <w:sz w:val="21"/>
          <w:szCs w:val="21"/>
        </w:rPr>
        <w:t>, 32 F.3d 759, 764 n.7 (3d Cir. 1994) (explaining that “the factfinder’s rejection of some of the defendant’s proffered rea</w:t>
      </w:r>
      <w:r>
        <w:rPr>
          <w:rFonts w:ascii="Palatino Linotype" w:eastAsia="Palatino Linotype" w:hAnsi="Palatino Linotype" w:cs="Palatino Linotype"/>
          <w:sz w:val="21"/>
          <w:szCs w:val="21"/>
        </w:rPr>
        <w:t>sons may impede the employer’s credibility seriously enough so that a factfinder may rationally disbelieve the remaining proffered reasons, even if no evidence undermining those remaining rationales in particular is available”). If the Defendants attempt t</w:t>
      </w:r>
      <w:r>
        <w:rPr>
          <w:rFonts w:ascii="Palatino Linotype" w:eastAsia="Palatino Linotype" w:hAnsi="Palatino Linotype" w:cs="Palatino Linotype"/>
          <w:sz w:val="21"/>
          <w:szCs w:val="21"/>
        </w:rPr>
        <w:t>o call Jones as a witness at a later stage, the EEOC can raise its objection at that time.  (ECF No. 114 at</w:t>
      </w:r>
      <w:r>
        <w:rPr>
          <w:rFonts w:ascii="Palatino Linotype" w:eastAsia="Palatino Linotype" w:hAnsi="Palatino Linotype" w:cs="Palatino Linotype"/>
          <w:spacing w:val="-16"/>
          <w:sz w:val="21"/>
          <w:szCs w:val="21"/>
        </w:rPr>
        <w:t xml:space="preserve"> </w:t>
      </w:r>
      <w:r>
        <w:rPr>
          <w:rFonts w:ascii="Palatino Linotype" w:eastAsia="Palatino Linotype" w:hAnsi="Palatino Linotype" w:cs="Palatino Linotype"/>
          <w:sz w:val="21"/>
          <w:szCs w:val="21"/>
        </w:rPr>
        <w:t>29).</w:t>
      </w:r>
    </w:p>
    <w:p w:rsidR="002A1594" w:rsidRDefault="002A1594">
      <w:pPr>
        <w:spacing w:before="12"/>
        <w:rPr>
          <w:rFonts w:ascii="Palatino Linotype" w:eastAsia="Palatino Linotype" w:hAnsi="Palatino Linotype" w:cs="Palatino Linotype"/>
          <w:sz w:val="19"/>
          <w:szCs w:val="19"/>
        </w:rPr>
      </w:pPr>
    </w:p>
    <w:p w:rsidR="002A1594" w:rsidRDefault="00073D1D">
      <w:pPr>
        <w:pStyle w:val="BodyText"/>
        <w:ind w:left="4371" w:right="4369"/>
        <w:jc w:val="center"/>
      </w:pPr>
      <w:r>
        <w:t>49</w:t>
      </w:r>
    </w:p>
    <w:p w:rsidR="002A1594" w:rsidRDefault="002A1594">
      <w:pPr>
        <w:jc w:val="center"/>
        <w:sectPr w:rsidR="002A1594">
          <w:pgSz w:w="12240" w:h="15840"/>
          <w:pgMar w:top="540" w:right="162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105"/>
        <w:jc w:val="both"/>
      </w:pPr>
      <w:r>
        <w:t>later testified that Sidor had not been hired because of a negative reference provided by his super</w:t>
      </w:r>
      <w:r>
        <w:rPr>
          <w:rFonts w:cs="Palatino Linotype"/>
        </w:rPr>
        <w:t xml:space="preserve">visor, Kari Shirk (“Shirk”). </w:t>
      </w:r>
      <w:r>
        <w:t>(ECF No. 98-14 at 4).  Shirk denied that Przybylek  had asked her about her subordinates.  (ECF No. 116-16 at</w:t>
      </w:r>
      <w:r>
        <w:rPr>
          <w:spacing w:val="-14"/>
        </w:rPr>
        <w:t xml:space="preserve"> </w:t>
      </w:r>
      <w:r>
        <w:t>5-6).</w:t>
      </w:r>
    </w:p>
    <w:p w:rsidR="002A1594" w:rsidRDefault="00073D1D">
      <w:pPr>
        <w:pStyle w:val="BodyText"/>
        <w:spacing w:before="0" w:line="480" w:lineRule="auto"/>
        <w:ind w:right="101" w:firstLine="719"/>
        <w:jc w:val="both"/>
        <w:rPr>
          <w:rFonts w:cs="Palatino Linotype"/>
        </w:rPr>
      </w:pPr>
      <w:r>
        <w:t xml:space="preserve">Documentary records provided by the Defendants suggest that Sue Schoenfeld </w:t>
      </w:r>
      <w:r>
        <w:rPr>
          <w:rFonts w:cs="Palatino Linotype"/>
        </w:rPr>
        <w:t>(“</w:t>
      </w:r>
      <w:r>
        <w:t>Schoenfeld</w:t>
      </w:r>
      <w:r>
        <w:rPr>
          <w:rFonts w:cs="Palatino Linotype"/>
        </w:rPr>
        <w:t xml:space="preserve">”) was selected for a </w:t>
      </w:r>
      <w:r>
        <w:t xml:space="preserve">position with the CCC, but that she had failed to return </w:t>
      </w:r>
      <w:r>
        <w:rPr>
          <w:rFonts w:cs="Palatino Linotype"/>
          <w:spacing w:val="-4"/>
        </w:rPr>
        <w:t xml:space="preserve">Grane’s </w:t>
      </w:r>
      <w:r>
        <w:rPr>
          <w:rFonts w:cs="Palatino Linotype"/>
        </w:rPr>
        <w:t>telephone calls.</w:t>
      </w:r>
      <w:r>
        <w:rPr>
          <w:position w:val="6"/>
          <w:sz w:val="13"/>
          <w:szCs w:val="13"/>
        </w:rPr>
        <w:t xml:space="preserve">15 </w:t>
      </w:r>
      <w:r>
        <w:t>(ECF No. 98-12 at 7). Lengle testified that she  had  no  recollection as to whether Schoenfeld had been contacted and offered a position. (ECF  No. 116-4 at 19-20). Schoen</w:t>
      </w:r>
      <w:r>
        <w:t>feld testified that she had never received a telephone call concerning the status of her application. (ECF No. 116-20 at 3). She responded in the affirmative when asked whether she would have accepted an offer of employment.</w:t>
      </w:r>
      <w:r>
        <w:rPr>
          <w:spacing w:val="29"/>
        </w:rPr>
        <w:t xml:space="preserve"> </w:t>
      </w:r>
      <w:r>
        <w:rPr>
          <w:rFonts w:cs="Palatino Linotype"/>
          <w:i/>
        </w:rPr>
        <w:t>Id.</w:t>
      </w:r>
    </w:p>
    <w:p w:rsidR="002A1594" w:rsidRDefault="00073D1D">
      <w:pPr>
        <w:pStyle w:val="BodyText"/>
        <w:spacing w:before="0" w:line="480" w:lineRule="auto"/>
        <w:ind w:right="101" w:firstLine="719"/>
        <w:jc w:val="both"/>
      </w:pPr>
      <w:r>
        <w:rPr>
          <w:rFonts w:cs="Palatino Linotype"/>
        </w:rPr>
        <w:t>Brenda Kelly (“Kelly”</w:t>
      </w:r>
      <w:r>
        <w:t xml:space="preserve">) was </w:t>
      </w:r>
      <w:r>
        <w:t>among the LCNRC employees seeking positions with the CCC. (ECF No. 98-12 at 5). Kelly fractured her left heel on September 5, 2009. (ECF  No. 98-5 at 4)</w:t>
      </w:r>
      <w:r>
        <w:rPr>
          <w:rFonts w:cs="Palatino Linotype"/>
        </w:rPr>
        <w:t xml:space="preserve">. As a result of her </w:t>
      </w:r>
      <w:r>
        <w:rPr>
          <w:rFonts w:cs="Palatino Linotype"/>
          <w:spacing w:val="-5"/>
        </w:rPr>
        <w:t xml:space="preserve">injury, </w:t>
      </w:r>
      <w:r>
        <w:rPr>
          <w:rFonts w:cs="Palatino Linotype"/>
        </w:rPr>
        <w:t xml:space="preserve">Kelly </w:t>
      </w:r>
      <w:r>
        <w:rPr>
          <w:rFonts w:cs="Palatino Linotype"/>
          <w:spacing w:val="-3"/>
        </w:rPr>
        <w:t xml:space="preserve">was </w:t>
      </w:r>
      <w:r>
        <w:rPr>
          <w:rFonts w:cs="Palatino Linotype"/>
        </w:rPr>
        <w:t xml:space="preserve">placed on “modified duty” for a period </w:t>
      </w:r>
      <w:r>
        <w:t xml:space="preserve">of six weeks. </w:t>
      </w:r>
      <w:r>
        <w:rPr>
          <w:rFonts w:cs="Palatino Linotype"/>
          <w:i/>
        </w:rPr>
        <w:t xml:space="preserve">Id. </w:t>
      </w:r>
      <w:r>
        <w:t>On Novem</w:t>
      </w:r>
      <w:r>
        <w:t xml:space="preserve">ber 13, 2009, McFeeley performed a physical examination of Kelly in connection with the hiring process. (ECF No. 116-19 at 9-13). On the pre- </w:t>
      </w:r>
      <w:r>
        <w:rPr>
          <w:rFonts w:cs="Palatino Linotype"/>
        </w:rPr>
        <w:t xml:space="preserve">placement evaluation form, it was noted that Kelly had been on “modified duty” during </w:t>
      </w:r>
      <w:r>
        <w:t>the six weeks fo</w:t>
      </w:r>
      <w:r>
        <w:rPr>
          <w:rFonts w:cs="Palatino Linotype"/>
        </w:rPr>
        <w:t xml:space="preserve">llowing the heel fracture, but that she </w:t>
      </w:r>
      <w:r>
        <w:rPr>
          <w:rFonts w:cs="Palatino Linotype"/>
          <w:spacing w:val="-3"/>
        </w:rPr>
        <w:t xml:space="preserve">was </w:t>
      </w:r>
      <w:r>
        <w:rPr>
          <w:rFonts w:cs="Palatino Linotype"/>
        </w:rPr>
        <w:t xml:space="preserve">doing “100% better” after her </w:t>
      </w:r>
      <w:r>
        <w:rPr>
          <w:spacing w:val="-4"/>
        </w:rPr>
        <w:t xml:space="preserve">recovery. </w:t>
      </w:r>
      <w:r>
        <w:t>(</w:t>
      </w:r>
      <w:r>
        <w:rPr>
          <w:rFonts w:cs="Palatino Linotype"/>
          <w:i/>
        </w:rPr>
        <w:t xml:space="preserve">Id. </w:t>
      </w:r>
      <w:r>
        <w:t>at 9). Kelly testified that she had received clearance to return to her regular duties on the night before the examination.  (</w:t>
      </w:r>
      <w:r>
        <w:rPr>
          <w:rFonts w:cs="Palatino Linotype"/>
          <w:i/>
        </w:rPr>
        <w:t xml:space="preserve">Id. </w:t>
      </w:r>
      <w:r>
        <w:t>at</w:t>
      </w:r>
      <w:r>
        <w:rPr>
          <w:spacing w:val="-17"/>
        </w:rPr>
        <w:t xml:space="preserve"> </w:t>
      </w:r>
      <w:r>
        <w:t>3).</w:t>
      </w:r>
    </w:p>
    <w:p w:rsidR="002A1594" w:rsidRDefault="002A1594">
      <w:pPr>
        <w:rPr>
          <w:rFonts w:ascii="Palatino Linotype" w:eastAsia="Palatino Linotype" w:hAnsi="Palatino Linotype" w:cs="Palatino Linotype"/>
          <w:sz w:val="19"/>
          <w:szCs w:val="19"/>
        </w:rPr>
      </w:pPr>
    </w:p>
    <w:p w:rsidR="002A1594" w:rsidRDefault="00073D1D">
      <w:pPr>
        <w:spacing w:line="20" w:lineRule="exact"/>
        <w:ind w:left="102"/>
        <w:rPr>
          <w:rFonts w:ascii="Palatino Linotype" w:eastAsia="Palatino Linotype" w:hAnsi="Palatino Linotype" w:cs="Palatino Linotype"/>
          <w:sz w:val="2"/>
          <w:szCs w:val="2"/>
        </w:rPr>
      </w:pPr>
      <w:r>
        <w:rPr>
          <w:rFonts w:ascii="Palatino Linotype" w:eastAsia="Palatino Linotype" w:hAnsi="Palatino Linotype" w:cs="Palatino Linotype"/>
          <w:sz w:val="2"/>
          <w:szCs w:val="2"/>
        </w:rPr>
      </w:r>
      <w:r>
        <w:rPr>
          <w:rFonts w:ascii="Palatino Linotype" w:eastAsia="Palatino Linotype" w:hAnsi="Palatino Linotype" w:cs="Palatino Linotype"/>
          <w:sz w:val="2"/>
          <w:szCs w:val="2"/>
        </w:rPr>
        <w:pict>
          <v:group id="_x0000_s1036" style="width:144.65pt;height:.6pt;mso-position-horizontal-relative:char;mso-position-vertical-relative:line" coordsize="2893,12">
            <v:group id="_x0000_s1037" style="position:absolute;left:6;top:6;width:2881;height:2" coordorigin="6,6" coordsize="2881,2">
              <v:shape id="_x0000_s1038" style="position:absolute;left:6;top:6;width:2881;height:2" coordorigin="6,6" coordsize="2881,0" path="m6,6r2880,e" filled="f" strokeweight=".6pt">
                <v:path arrowok="t"/>
              </v:shape>
            </v:group>
            <w10:wrap type="none"/>
            <w10:anchorlock/>
          </v:group>
        </w:pict>
      </w:r>
    </w:p>
    <w:p w:rsidR="002A1594" w:rsidRDefault="002A1594">
      <w:pPr>
        <w:spacing w:before="2"/>
        <w:rPr>
          <w:rFonts w:ascii="Palatino Linotype" w:eastAsia="Palatino Linotype" w:hAnsi="Palatino Linotype" w:cs="Palatino Linotype"/>
          <w:sz w:val="5"/>
          <w:szCs w:val="5"/>
        </w:rPr>
      </w:pPr>
    </w:p>
    <w:p w:rsidR="002A1594" w:rsidRDefault="00073D1D">
      <w:pPr>
        <w:spacing w:before="33"/>
        <w:ind w:left="108" w:right="102"/>
        <w:jc w:val="both"/>
        <w:rPr>
          <w:rFonts w:ascii="Palatino Linotype" w:eastAsia="Palatino Linotype" w:hAnsi="Palatino Linotype" w:cs="Palatino Linotype"/>
          <w:sz w:val="21"/>
          <w:szCs w:val="21"/>
        </w:rPr>
      </w:pPr>
      <w:r>
        <w:rPr>
          <w:rFonts w:ascii="Palatino Linotype" w:eastAsia="Palatino Linotype" w:hAnsi="Palatino Linotype" w:cs="Palatino Linotype"/>
          <w:position w:val="6"/>
          <w:sz w:val="13"/>
          <w:szCs w:val="13"/>
        </w:rPr>
        <w:t xml:space="preserve">15 </w:t>
      </w:r>
      <w:r>
        <w:rPr>
          <w:rFonts w:ascii="Palatino Linotype" w:eastAsia="Palatino Linotype" w:hAnsi="Palatino Linotype" w:cs="Palatino Linotype"/>
          <w:sz w:val="21"/>
          <w:szCs w:val="21"/>
        </w:rPr>
        <w:t>Documentary evidence supplied by the Defendants also suggests that Nora Nyland (“Nyland”) declined an offer of employment. (ECF No. 98-12 at 7). For purposes of summary judgment, however, the Defendants concede tha</w:t>
      </w:r>
      <w:r>
        <w:rPr>
          <w:rFonts w:ascii="Palatino Linotype" w:eastAsia="Palatino Linotype" w:hAnsi="Palatino Linotype" w:cs="Palatino Linotype"/>
          <w:sz w:val="21"/>
          <w:szCs w:val="21"/>
        </w:rPr>
        <w:t>t no offer of employment was extended to Nyland.  (ECF No. 93 at 25; ECF No. 114 at</w:t>
      </w:r>
      <w:r>
        <w:rPr>
          <w:rFonts w:ascii="Palatino Linotype" w:eastAsia="Palatino Linotype" w:hAnsi="Palatino Linotype" w:cs="Palatino Linotype"/>
          <w:spacing w:val="-8"/>
          <w:sz w:val="21"/>
          <w:szCs w:val="21"/>
        </w:rPr>
        <w:t xml:space="preserve"> </w:t>
      </w:r>
      <w:r>
        <w:rPr>
          <w:rFonts w:ascii="Palatino Linotype" w:eastAsia="Palatino Linotype" w:hAnsi="Palatino Linotype" w:cs="Palatino Linotype"/>
          <w:sz w:val="21"/>
          <w:szCs w:val="21"/>
        </w:rPr>
        <w:t>45).</w:t>
      </w:r>
    </w:p>
    <w:p w:rsidR="002A1594" w:rsidRDefault="002A1594">
      <w:pPr>
        <w:spacing w:before="12"/>
        <w:rPr>
          <w:rFonts w:ascii="Palatino Linotype" w:eastAsia="Palatino Linotype" w:hAnsi="Palatino Linotype" w:cs="Palatino Linotype"/>
          <w:sz w:val="19"/>
          <w:szCs w:val="19"/>
        </w:rPr>
      </w:pPr>
    </w:p>
    <w:p w:rsidR="002A1594" w:rsidRDefault="00073D1D">
      <w:pPr>
        <w:pStyle w:val="BodyText"/>
        <w:ind w:left="4371" w:right="4369"/>
        <w:jc w:val="center"/>
      </w:pPr>
      <w:r>
        <w:t>50</w:t>
      </w:r>
    </w:p>
    <w:p w:rsidR="002A1594" w:rsidRDefault="002A1594">
      <w:pPr>
        <w:jc w:val="center"/>
        <w:sectPr w:rsidR="002A1594">
          <w:headerReference w:type="default" r:id="rId17"/>
          <w:pgSz w:w="12240" w:h="15840"/>
          <w:pgMar w:top="540" w:right="162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101" w:firstLine="719"/>
        <w:jc w:val="both"/>
      </w:pPr>
      <w:r>
        <w:t xml:space="preserve">In her affidavit, Lengle stated that Kelly had not been hired because the CCC had no positions available for </w:t>
      </w:r>
      <w:r>
        <w:rPr>
          <w:rFonts w:cs="Palatino Linotype"/>
        </w:rPr>
        <w:t xml:space="preserve">someone who needed to be on “modified </w:t>
      </w:r>
      <w:r>
        <w:rPr>
          <w:rFonts w:cs="Palatino Linotype"/>
          <w:spacing w:val="-5"/>
        </w:rPr>
        <w:t xml:space="preserve">duty.”   </w:t>
      </w:r>
      <w:r>
        <w:t xml:space="preserve">(ECF No. </w:t>
      </w:r>
      <w:r>
        <w:rPr>
          <w:spacing w:val="36"/>
        </w:rPr>
        <w:t xml:space="preserve"> </w:t>
      </w:r>
      <w:r>
        <w:t>99-2</w:t>
      </w:r>
    </w:p>
    <w:p w:rsidR="002A1594" w:rsidRDefault="00073D1D">
      <w:pPr>
        <w:pStyle w:val="BodyText"/>
        <w:spacing w:before="1" w:line="480" w:lineRule="auto"/>
        <w:ind w:right="101"/>
        <w:jc w:val="both"/>
      </w:pPr>
      <w:r>
        <w:t xml:space="preserve">¶ 70). This statement is problematic for several reasons. First, the record indicates that Kelly was no longer </w:t>
      </w:r>
      <w:r>
        <w:rPr>
          <w:rFonts w:cs="Palatino Linotype"/>
        </w:rPr>
        <w:t xml:space="preserve">on “modified duty” at the time of her physical examination, which </w:t>
      </w:r>
      <w:r>
        <w:t>preceded the opening of the CCC. (ECF No. 116-19 at 3-4). Second, the reason gi</w:t>
      </w:r>
      <w:r>
        <w:t xml:space="preserve">ven for </w:t>
      </w:r>
      <w:r>
        <w:rPr>
          <w:rFonts w:cs="Palatino Linotype"/>
          <w:spacing w:val="-4"/>
        </w:rPr>
        <w:t xml:space="preserve">Kelly’s </w:t>
      </w:r>
      <w:r>
        <w:rPr>
          <w:rFonts w:cs="Palatino Linotype"/>
        </w:rPr>
        <w:t xml:space="preserve">rejection appears to contradict a critical assertion in </w:t>
      </w:r>
      <w:r>
        <w:rPr>
          <w:rFonts w:cs="Palatino Linotype"/>
          <w:spacing w:val="-4"/>
        </w:rPr>
        <w:t xml:space="preserve">Lengle’s </w:t>
      </w:r>
      <w:r>
        <w:rPr>
          <w:rFonts w:cs="Palatino Linotype"/>
        </w:rPr>
        <w:t xml:space="preserve">affidavit. Lengle </w:t>
      </w:r>
      <w:r>
        <w:t xml:space="preserve">declared that she had looked at the completed physical examination forms only to see whether each prospective employee had been cleared by </w:t>
      </w:r>
      <w:r>
        <w:rPr>
          <w:spacing w:val="-4"/>
        </w:rPr>
        <w:t xml:space="preserve">McFeeley. </w:t>
      </w:r>
      <w:r>
        <w:t xml:space="preserve">(ECF No. 99-2 ¶ 43). </w:t>
      </w:r>
      <w:r>
        <w:rPr>
          <w:rFonts w:cs="Palatino Linotype"/>
        </w:rPr>
        <w:t xml:space="preserve">The last page of </w:t>
      </w:r>
      <w:r>
        <w:rPr>
          <w:rFonts w:cs="Palatino Linotype"/>
          <w:spacing w:val="-4"/>
        </w:rPr>
        <w:t xml:space="preserve">Kelly’s </w:t>
      </w:r>
      <w:r>
        <w:rPr>
          <w:rFonts w:cs="Palatino Linotype"/>
        </w:rPr>
        <w:t xml:space="preserve">examination form indicates that she was cleared </w:t>
      </w:r>
      <w:r>
        <w:t xml:space="preserve">to perform the </w:t>
      </w:r>
      <w:r>
        <w:rPr>
          <w:rFonts w:cs="Palatino Linotype"/>
        </w:rPr>
        <w:t xml:space="preserve">“essential functions” of her desired position. </w:t>
      </w:r>
      <w:r>
        <w:t xml:space="preserve">(ECF No. 116-19 at  13).  The  notation </w:t>
      </w:r>
      <w:r>
        <w:rPr>
          <w:rFonts w:cs="Palatino Linotype"/>
        </w:rPr>
        <w:t xml:space="preserve">relating to </w:t>
      </w:r>
      <w:r>
        <w:rPr>
          <w:rFonts w:cs="Palatino Linotype"/>
          <w:spacing w:val="-4"/>
        </w:rPr>
        <w:t xml:space="preserve">Kelly’s </w:t>
      </w:r>
      <w:r>
        <w:rPr>
          <w:rFonts w:cs="Palatino Linotype"/>
        </w:rPr>
        <w:t>time on “modified duty” appears four pag</w:t>
      </w:r>
      <w:r>
        <w:rPr>
          <w:rFonts w:cs="Palatino Linotype"/>
        </w:rPr>
        <w:t xml:space="preserve">es earlier. </w:t>
      </w:r>
      <w:r>
        <w:rPr>
          <w:rFonts w:cs="Palatino Linotype"/>
          <w:i/>
        </w:rPr>
        <w:t xml:space="preserve">Id. </w:t>
      </w:r>
      <w:r>
        <w:t xml:space="preserve">at 9. Kelly provided the information about her injury </w:t>
      </w:r>
      <w:r>
        <w:rPr>
          <w:rFonts w:cs="Palatino Linotype"/>
        </w:rPr>
        <w:t xml:space="preserve">in response to an “inquiry” as to </w:t>
      </w:r>
      <w:r>
        <w:t xml:space="preserve">whether she had ever been injured at work. </w:t>
      </w:r>
      <w:r>
        <w:rPr>
          <w:rFonts w:cs="Palatino Linotype"/>
          <w:i/>
        </w:rPr>
        <w:t xml:space="preserve">Id. </w:t>
      </w:r>
      <w:r>
        <w:t xml:space="preserve">In light of this documentary evidence, a reasonable factfinder could infer that Lengle was making hiring </w:t>
      </w:r>
      <w:r>
        <w:t xml:space="preserve">decisions on the basis of medical information procured through the unlawful medical examinations and inquiries. The </w:t>
      </w:r>
      <w:r>
        <w:rPr>
          <w:rFonts w:cs="Palatino Linotype"/>
        </w:rPr>
        <w:t xml:space="preserve">asserted reason for </w:t>
      </w:r>
      <w:r>
        <w:rPr>
          <w:rFonts w:cs="Palatino Linotype"/>
          <w:spacing w:val="-4"/>
        </w:rPr>
        <w:t xml:space="preserve">Kelly’s </w:t>
      </w:r>
      <w:r>
        <w:rPr>
          <w:rFonts w:cs="Palatino Linotype"/>
        </w:rPr>
        <w:t xml:space="preserve">rejection could likewise </w:t>
      </w:r>
      <w:r>
        <w:rPr>
          <w:rFonts w:cs="Palatino Linotype"/>
          <w:spacing w:val="-3"/>
        </w:rPr>
        <w:t xml:space="preserve">give </w:t>
      </w:r>
      <w:r>
        <w:rPr>
          <w:rFonts w:cs="Palatino Linotype"/>
        </w:rPr>
        <w:t>rise to an inference that the Defendants were unwilling to provide “disabled” appl</w:t>
      </w:r>
      <w:r>
        <w:rPr>
          <w:rFonts w:cs="Palatino Linotype"/>
        </w:rPr>
        <w:t xml:space="preserve">icants with the “reasonable accommodations” required under Title I.  42 U.S.C. </w:t>
      </w:r>
      <w:r>
        <w:t>§§ 12111(9),</w:t>
      </w:r>
      <w:r>
        <w:rPr>
          <w:spacing w:val="-18"/>
        </w:rPr>
        <w:t xml:space="preserve"> </w:t>
      </w:r>
      <w:r>
        <w:t>12112(b)(5).</w:t>
      </w:r>
    </w:p>
    <w:p w:rsidR="002A1594" w:rsidRDefault="00073D1D">
      <w:pPr>
        <w:pStyle w:val="BodyText"/>
        <w:spacing w:before="0" w:line="480" w:lineRule="auto"/>
        <w:ind w:right="101" w:firstLine="719"/>
        <w:jc w:val="both"/>
      </w:pPr>
      <w:r>
        <w:t>C</w:t>
      </w:r>
      <w:r>
        <w:rPr>
          <w:rFonts w:cs="Palatino Linotype"/>
        </w:rPr>
        <w:t>hristine Berish (“Berish”</w:t>
      </w:r>
      <w:r>
        <w:t>), an LCNRC employee, applied for a position with the CCC. (ECF No. 99-2 ¶ 58). On November 3, 2009, she went on medical leav</w:t>
      </w:r>
      <w:r>
        <w:t xml:space="preserve">e because of a brain aneurysm. (ECF No. 116-17 at 3, 6).  Because of her absence, Berish did not undergo a medical examination in connection with the hiring process.   (ECF No. 99-2 ¶ 58).     </w:t>
      </w:r>
      <w:r>
        <w:rPr>
          <w:spacing w:val="54"/>
        </w:rPr>
        <w:t xml:space="preserve"> </w:t>
      </w:r>
      <w:r>
        <w:rPr>
          <w:spacing w:val="-2"/>
        </w:rPr>
        <w:t>She</w:t>
      </w:r>
    </w:p>
    <w:p w:rsidR="002A1594" w:rsidRDefault="00073D1D">
      <w:pPr>
        <w:pStyle w:val="BodyText"/>
        <w:ind w:left="4371" w:right="4369"/>
        <w:jc w:val="center"/>
      </w:pPr>
      <w:r>
        <w:t>51</w:t>
      </w:r>
    </w:p>
    <w:p w:rsidR="002A1594" w:rsidRDefault="002A1594">
      <w:pPr>
        <w:jc w:val="center"/>
        <w:sectPr w:rsidR="002A1594">
          <w:headerReference w:type="default" r:id="rId18"/>
          <w:pgSz w:w="12240" w:h="15840"/>
          <w:pgMar w:top="540" w:right="1620" w:bottom="280" w:left="1620" w:header="306" w:footer="0" w:gutter="0"/>
          <w:pgNumType w:start="51"/>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101"/>
        <w:jc w:val="both"/>
        <w:rPr>
          <w:sz w:val="13"/>
          <w:szCs w:val="13"/>
        </w:rPr>
      </w:pPr>
      <w:r>
        <w:t xml:space="preserve">returned to work on December 7, 2009.  (ECF No. 116-17 at 3).  Berish testified that she  had spoken with Grane officials about completing the physical examination upon her return, </w:t>
      </w:r>
      <w:r>
        <w:rPr>
          <w:rFonts w:cs="Palatino Linotype"/>
        </w:rPr>
        <w:t xml:space="preserve">but that she had been “cut </w:t>
      </w:r>
      <w:r>
        <w:rPr>
          <w:rFonts w:cs="Palatino Linotype"/>
          <w:spacing w:val="3"/>
        </w:rPr>
        <w:t xml:space="preserve">off” </w:t>
      </w:r>
      <w:r>
        <w:rPr>
          <w:rFonts w:cs="Palatino Linotype"/>
        </w:rPr>
        <w:t xml:space="preserve">and told that she would be contacted if they were </w:t>
      </w:r>
      <w:r>
        <w:t xml:space="preserve">interested in hiring </w:t>
      </w:r>
      <w:r>
        <w:rPr>
          <w:spacing w:val="-4"/>
        </w:rPr>
        <w:t xml:space="preserve">her. </w:t>
      </w:r>
      <w:r>
        <w:t>(</w:t>
      </w:r>
      <w:r>
        <w:rPr>
          <w:rFonts w:cs="Palatino Linotype"/>
          <w:i/>
        </w:rPr>
        <w:t xml:space="preserve">Id. </w:t>
      </w:r>
      <w:r>
        <w:t xml:space="preserve">at 3-5). Lengle testified that Berish would have been hired if </w:t>
      </w:r>
      <w:r>
        <w:rPr>
          <w:rFonts w:cs="Palatino Linotype"/>
        </w:rPr>
        <w:t xml:space="preserve">her “requirements” had been completed.  </w:t>
      </w:r>
      <w:r>
        <w:t xml:space="preserve">(ECF No. 116-4 at 15).  It appears that </w:t>
      </w:r>
      <w:r>
        <w:t xml:space="preserve">Berish  was not hired precisely </w:t>
      </w:r>
      <w:r>
        <w:rPr>
          <w:rFonts w:cs="Palatino Linotype"/>
          <w:i/>
        </w:rPr>
        <w:t xml:space="preserve">because </w:t>
      </w:r>
      <w:r>
        <w:t xml:space="preserve">she had not undergone a pre-offer medical examination. (ECF No. 99-2 ¶¶ 58-60). </w:t>
      </w:r>
      <w:r>
        <w:rPr>
          <w:rFonts w:cs="Palatino Linotype"/>
          <w:spacing w:val="-2"/>
        </w:rPr>
        <w:t xml:space="preserve">The </w:t>
      </w:r>
      <w:r>
        <w:rPr>
          <w:rFonts w:cs="Palatino Linotype"/>
          <w:spacing w:val="-9"/>
        </w:rPr>
        <w:t xml:space="preserve">ADA’s </w:t>
      </w:r>
      <w:r>
        <w:rPr>
          <w:rFonts w:cs="Palatino Linotype"/>
        </w:rPr>
        <w:t xml:space="preserve">“prohibition against discrimination” </w:t>
      </w:r>
      <w:r>
        <w:t xml:space="preserve">specifically </w:t>
      </w:r>
      <w:r>
        <w:rPr>
          <w:rFonts w:cs="Palatino Linotype"/>
        </w:rPr>
        <w:t xml:space="preserve">incorporates the provisions governing “medical examinations and inquiries.” </w:t>
      </w:r>
      <w:r>
        <w:rPr>
          <w:rFonts w:cs="Palatino Linotype"/>
        </w:rPr>
        <w:t xml:space="preserve">42 U.S.C. § </w:t>
      </w:r>
      <w:r>
        <w:t xml:space="preserve">12112(d)(1). </w:t>
      </w:r>
      <w:r>
        <w:rPr>
          <w:rFonts w:cs="Palatino Linotype"/>
          <w:spacing w:val="-3"/>
        </w:rPr>
        <w:t xml:space="preserve">Consequently, </w:t>
      </w:r>
      <w:r>
        <w:rPr>
          <w:rFonts w:cs="Palatino Linotype"/>
          <w:spacing w:val="-4"/>
        </w:rPr>
        <w:t xml:space="preserve">Berish’s </w:t>
      </w:r>
      <w:r>
        <w:rPr>
          <w:rFonts w:cs="Palatino Linotype"/>
        </w:rPr>
        <w:t xml:space="preserve">failure to undergo an </w:t>
      </w:r>
      <w:r>
        <w:rPr>
          <w:rFonts w:cs="Palatino Linotype"/>
          <w:i/>
        </w:rPr>
        <w:t xml:space="preserve">illegal </w:t>
      </w:r>
      <w:r>
        <w:t xml:space="preserve">pre-offer medical examination provided no </w:t>
      </w:r>
      <w:r>
        <w:rPr>
          <w:rFonts w:cs="Palatino Linotype"/>
          <w:i/>
        </w:rPr>
        <w:t xml:space="preserve">lawful </w:t>
      </w:r>
      <w:r>
        <w:t>basis for the rejection of her</w:t>
      </w:r>
      <w:r>
        <w:rPr>
          <w:spacing w:val="-20"/>
        </w:rPr>
        <w:t xml:space="preserve"> </w:t>
      </w:r>
      <w:r>
        <w:t>application.</w:t>
      </w:r>
      <w:r>
        <w:rPr>
          <w:position w:val="6"/>
          <w:sz w:val="13"/>
          <w:szCs w:val="13"/>
        </w:rPr>
        <w:t>16</w:t>
      </w:r>
    </w:p>
    <w:p w:rsidR="002A1594" w:rsidRDefault="00073D1D">
      <w:pPr>
        <w:pStyle w:val="BodyText"/>
        <w:spacing w:before="0" w:line="480" w:lineRule="auto"/>
        <w:ind w:right="101" w:firstLine="719"/>
        <w:jc w:val="both"/>
      </w:pPr>
      <w:r>
        <w:pict>
          <v:group id="_x0000_s1034" style="position:absolute;left:0;text-align:left;margin-left:86.4pt;margin-top:266.2pt;width:144.05pt;height:.1pt;z-index:-24304;mso-position-horizontal-relative:page" coordorigin="1728,5324" coordsize="2881,2">
            <v:shape id="_x0000_s1035" style="position:absolute;left:1728;top:5324;width:2881;height:2" coordorigin="1728,5324" coordsize="2881,0" path="m1728,5324r2881,e" filled="f" strokeweight=".6pt">
              <v:path arrowok="t"/>
            </v:shape>
            <w10:wrap anchorx="page"/>
          </v:group>
        </w:pict>
      </w:r>
      <w:r>
        <w:t xml:space="preserve">The Defendants have submitted evidence suggesting that four of </w:t>
      </w:r>
      <w:r>
        <w:rPr>
          <w:rFonts w:cs="Palatino Linotype"/>
        </w:rPr>
        <w:t xml:space="preserve">the “disabled” </w:t>
      </w:r>
      <w:r>
        <w:t>applicants may have been denied employment opportunities with the CCC because Grane had decided to eliminate their positions. (ECF No. 98-2 at 7-9; ECF No. 99-2 ¶¶ 61-69). Given the inconsistencies in the reasons given for the rejection of other applicants</w:t>
      </w:r>
      <w:r>
        <w:t xml:space="preserve">, </w:t>
      </w:r>
      <w:r>
        <w:rPr>
          <w:spacing w:val="-3"/>
        </w:rPr>
        <w:t xml:space="preserve">however, </w:t>
      </w:r>
      <w:r>
        <w:t xml:space="preserve">the evidence in the record need not be isolated with respect to each person for whom the EEOC is seeking relief. </w:t>
      </w:r>
      <w:r>
        <w:rPr>
          <w:rFonts w:cs="Palatino Linotype"/>
          <w:i/>
          <w:spacing w:val="-4"/>
        </w:rPr>
        <w:t>Teamsters</w:t>
      </w:r>
      <w:r>
        <w:rPr>
          <w:spacing w:val="-4"/>
        </w:rPr>
        <w:t xml:space="preserve">, </w:t>
      </w:r>
      <w:r>
        <w:t xml:space="preserve">431 U.S. at 360. In </w:t>
      </w:r>
      <w:r>
        <w:rPr>
          <w:rFonts w:cs="Palatino Linotype"/>
          <w:i/>
        </w:rPr>
        <w:t xml:space="preserve">Fuentes </w:t>
      </w:r>
      <w:r>
        <w:rPr>
          <w:rFonts w:cs="Palatino Linotype"/>
          <w:i/>
          <w:spacing w:val="-6"/>
        </w:rPr>
        <w:t xml:space="preserve">v. </w:t>
      </w:r>
      <w:r>
        <w:rPr>
          <w:rFonts w:cs="Palatino Linotype"/>
          <w:i/>
        </w:rPr>
        <w:t>Perskie</w:t>
      </w:r>
      <w:r>
        <w:t xml:space="preserve">, 32 </w:t>
      </w:r>
      <w:r>
        <w:rPr>
          <w:spacing w:val="-4"/>
        </w:rPr>
        <w:t xml:space="preserve">F.3d </w:t>
      </w:r>
      <w:r>
        <w:t xml:space="preserve">759, 764 n.7 (3d </w:t>
      </w:r>
      <w:r>
        <w:rPr>
          <w:spacing w:val="-4"/>
        </w:rPr>
        <w:t xml:space="preserve">Cir. </w:t>
      </w:r>
      <w:r>
        <w:t xml:space="preserve">1994), the Third Circuit recognized that, </w:t>
      </w:r>
      <w:r>
        <w:rPr>
          <w:rFonts w:cs="Palatino Linotype"/>
        </w:rPr>
        <w:t>if a plai</w:t>
      </w:r>
      <w:r>
        <w:rPr>
          <w:rFonts w:cs="Palatino Linotype"/>
        </w:rPr>
        <w:t xml:space="preserve">ntiff “manages to cast doubt on a fair number” of the reasons for an adverse employment action proffered by a defendant, he or she “may not need to discredit the remainder” of those </w:t>
      </w:r>
      <w:r>
        <w:t xml:space="preserve">reasons in  </w:t>
      </w:r>
      <w:r>
        <w:rPr>
          <w:spacing w:val="38"/>
        </w:rPr>
        <w:t xml:space="preserve"> </w:t>
      </w:r>
      <w:r>
        <w:t>order</w:t>
      </w:r>
    </w:p>
    <w:p w:rsidR="002A1594" w:rsidRDefault="00073D1D">
      <w:pPr>
        <w:spacing w:before="96"/>
        <w:ind w:left="108" w:right="102"/>
        <w:jc w:val="both"/>
        <w:rPr>
          <w:rFonts w:ascii="Palatino Linotype" w:eastAsia="Palatino Linotype" w:hAnsi="Palatino Linotype" w:cs="Palatino Linotype"/>
          <w:sz w:val="21"/>
          <w:szCs w:val="21"/>
        </w:rPr>
      </w:pPr>
      <w:r>
        <w:rPr>
          <w:rFonts w:ascii="Palatino Linotype" w:eastAsia="Palatino Linotype" w:hAnsi="Palatino Linotype" w:cs="Palatino Linotype"/>
          <w:position w:val="6"/>
          <w:sz w:val="13"/>
          <w:szCs w:val="13"/>
        </w:rPr>
        <w:t xml:space="preserve">16 </w:t>
      </w:r>
      <w:r>
        <w:rPr>
          <w:rFonts w:ascii="Palatino Linotype" w:eastAsia="Palatino Linotype" w:hAnsi="Palatino Linotype" w:cs="Palatino Linotype"/>
          <w:sz w:val="21"/>
          <w:szCs w:val="21"/>
        </w:rPr>
        <w:t>The Defendants appear to be under the mistaken under</w:t>
      </w:r>
      <w:r>
        <w:rPr>
          <w:rFonts w:ascii="Palatino Linotype" w:eastAsia="Palatino Linotype" w:hAnsi="Palatino Linotype" w:cs="Palatino Linotype"/>
          <w:sz w:val="21"/>
          <w:szCs w:val="21"/>
        </w:rPr>
        <w:t>standing that no relief can be sought on Berish’s behalf because she never underwent a pre-offer medical examination. (ECF No. 93 at 24-25). Since the pre-offer examinations performed on the applicants were  prohibited  under the ADA, the Defendants were n</w:t>
      </w:r>
      <w:r>
        <w:rPr>
          <w:rFonts w:ascii="Palatino Linotype" w:eastAsia="Palatino Linotype" w:hAnsi="Palatino Linotype" w:cs="Palatino Linotype"/>
          <w:sz w:val="21"/>
          <w:szCs w:val="21"/>
        </w:rPr>
        <w:t>ot free to discriminate against Berish because of her failure to appear for such an examination.  42 U.S.C. §</w:t>
      </w:r>
      <w:r>
        <w:rPr>
          <w:rFonts w:ascii="Palatino Linotype" w:eastAsia="Palatino Linotype" w:hAnsi="Palatino Linotype" w:cs="Palatino Linotype"/>
          <w:spacing w:val="-13"/>
          <w:sz w:val="21"/>
          <w:szCs w:val="21"/>
        </w:rPr>
        <w:t xml:space="preserve"> </w:t>
      </w:r>
      <w:r>
        <w:rPr>
          <w:rFonts w:ascii="Palatino Linotype" w:eastAsia="Palatino Linotype" w:hAnsi="Palatino Linotype" w:cs="Palatino Linotype"/>
          <w:sz w:val="21"/>
          <w:szCs w:val="21"/>
        </w:rPr>
        <w:t>12112(d)(1).</w:t>
      </w:r>
    </w:p>
    <w:p w:rsidR="002A1594" w:rsidRDefault="002A1594">
      <w:pPr>
        <w:spacing w:before="12"/>
        <w:rPr>
          <w:rFonts w:ascii="Palatino Linotype" w:eastAsia="Palatino Linotype" w:hAnsi="Palatino Linotype" w:cs="Palatino Linotype"/>
          <w:sz w:val="19"/>
          <w:szCs w:val="19"/>
        </w:rPr>
      </w:pPr>
    </w:p>
    <w:p w:rsidR="002A1594" w:rsidRDefault="00073D1D">
      <w:pPr>
        <w:pStyle w:val="BodyText"/>
        <w:ind w:left="4371" w:right="4369"/>
        <w:jc w:val="center"/>
      </w:pPr>
      <w:r>
        <w:t>52</w:t>
      </w:r>
    </w:p>
    <w:p w:rsidR="002A1594" w:rsidRDefault="002A1594">
      <w:pPr>
        <w:jc w:val="center"/>
        <w:sectPr w:rsidR="002A1594">
          <w:pgSz w:w="12240" w:h="15840"/>
          <w:pgMar w:top="540" w:right="162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101"/>
        <w:jc w:val="both"/>
        <w:rPr>
          <w:sz w:val="13"/>
          <w:szCs w:val="13"/>
        </w:rPr>
      </w:pPr>
      <w:r>
        <w:t xml:space="preserve">to defeat a motion for summary judgment. The record reveals the existence of genuine factual disputes as to whether the Defendants were unlawfully discriminating against </w:t>
      </w:r>
      <w:r>
        <w:rPr>
          <w:rFonts w:cs="Palatino Linotype"/>
        </w:rPr>
        <w:t xml:space="preserve">“disabled” applicants in connection with the challenged hiring process.  The EEOC has </w:t>
      </w:r>
      <w:r>
        <w:rPr>
          <w:rFonts w:cs="Palatino Linotype"/>
        </w:rPr>
        <w:t xml:space="preserve"> the unique ability to pursue “relief for a group of aggrieved individuals” without moving </w:t>
      </w:r>
      <w:r>
        <w:t xml:space="preserve">for class-certification under Rule 23. </w:t>
      </w:r>
      <w:r>
        <w:rPr>
          <w:rFonts w:cs="Palatino Linotype"/>
          <w:i/>
        </w:rPr>
        <w:t xml:space="preserve">General </w:t>
      </w:r>
      <w:r>
        <w:rPr>
          <w:rFonts w:cs="Palatino Linotype"/>
          <w:i/>
          <w:spacing w:val="-3"/>
        </w:rPr>
        <w:t>Telephone</w:t>
      </w:r>
      <w:r>
        <w:rPr>
          <w:spacing w:val="-3"/>
        </w:rPr>
        <w:t xml:space="preserve">, </w:t>
      </w:r>
      <w:r>
        <w:t>446 U.S. at 324. Since it is undisputed that the LCNRC employees seeking positions with the CCC were unlawf</w:t>
      </w:r>
      <w:r>
        <w:t xml:space="preserve">ully subjected to pre-offer medical examinations and inquiries, further proceedings must be conducted to determine whether some or all of the aggrieved individuals are entitled to </w:t>
      </w:r>
      <w:r>
        <w:rPr>
          <w:rFonts w:cs="Palatino Linotype"/>
        </w:rPr>
        <w:t>monetary relief. If “disabled” emplo</w:t>
      </w:r>
      <w:r>
        <w:t>yees were rejected based on medical info</w:t>
      </w:r>
      <w:r>
        <w:t>rmation procured in connection with the examinations and inqui</w:t>
      </w:r>
      <w:r>
        <w:rPr>
          <w:rFonts w:cs="Palatino Linotype"/>
        </w:rPr>
        <w:t xml:space="preserve">ries, the Defendants’ liability </w:t>
      </w:r>
      <w:r>
        <w:t xml:space="preserve">under § 12112(a) may turn on the same facts as those surrounding the issue of damages allegedly resulting from the admitted § 12112(d) violations. </w:t>
      </w:r>
      <w:r>
        <w:rPr>
          <w:rFonts w:cs="Palatino Linotype"/>
          <w:i/>
        </w:rPr>
        <w:t>Garrison</w:t>
      </w:r>
      <w:r>
        <w:t xml:space="preserve">, 287 </w:t>
      </w:r>
      <w:r>
        <w:rPr>
          <w:spacing w:val="-4"/>
        </w:rPr>
        <w:t>F</w:t>
      </w:r>
      <w:r>
        <w:rPr>
          <w:spacing w:val="-4"/>
        </w:rPr>
        <w:t xml:space="preserve">.3d </w:t>
      </w:r>
      <w:r>
        <w:t>at 963. In light of the evidence creating an inference that the overall hiring process may have been tainted by the infusion of illegally obtained medical information, none of the § 12112(a) claims will be dismissed at this time. Once a framework for t</w:t>
      </w:r>
      <w:r>
        <w:t xml:space="preserve">he proceedings designed to address the issue of damages is established, the Court will be in a better position to determine whether those same proceedings can be utilized to resolve some or all of the </w:t>
      </w:r>
      <w:r>
        <w:rPr>
          <w:rFonts w:cs="Palatino Linotype"/>
        </w:rPr>
        <w:t>pending § 12112(a) claims. In the meantime, the Defenda</w:t>
      </w:r>
      <w:r>
        <w:rPr>
          <w:rFonts w:cs="Palatino Linotype"/>
        </w:rPr>
        <w:t xml:space="preserve">nts’ motion for summary </w:t>
      </w:r>
      <w:r>
        <w:t>judgment will be denied in all</w:t>
      </w:r>
      <w:r>
        <w:rPr>
          <w:spacing w:val="-14"/>
        </w:rPr>
        <w:t xml:space="preserve"> </w:t>
      </w:r>
      <w:r>
        <w:t>respects.</w:t>
      </w:r>
      <w:r>
        <w:rPr>
          <w:position w:val="6"/>
          <w:sz w:val="13"/>
          <w:szCs w:val="13"/>
        </w:rPr>
        <w:t>17</w:t>
      </w:r>
    </w:p>
    <w:p w:rsidR="002A1594" w:rsidRDefault="002A1594">
      <w:pPr>
        <w:rPr>
          <w:rFonts w:ascii="Palatino Linotype" w:eastAsia="Palatino Linotype" w:hAnsi="Palatino Linotype" w:cs="Palatino Linotype"/>
          <w:sz w:val="19"/>
          <w:szCs w:val="19"/>
        </w:rPr>
      </w:pPr>
    </w:p>
    <w:p w:rsidR="002A1594" w:rsidRDefault="00073D1D">
      <w:pPr>
        <w:spacing w:line="20" w:lineRule="exact"/>
        <w:ind w:left="102"/>
        <w:rPr>
          <w:rFonts w:ascii="Palatino Linotype" w:eastAsia="Palatino Linotype" w:hAnsi="Palatino Linotype" w:cs="Palatino Linotype"/>
          <w:sz w:val="2"/>
          <w:szCs w:val="2"/>
        </w:rPr>
      </w:pPr>
      <w:r>
        <w:rPr>
          <w:rFonts w:ascii="Palatino Linotype" w:eastAsia="Palatino Linotype" w:hAnsi="Palatino Linotype" w:cs="Palatino Linotype"/>
          <w:sz w:val="2"/>
          <w:szCs w:val="2"/>
        </w:rPr>
      </w:r>
      <w:r>
        <w:rPr>
          <w:rFonts w:ascii="Palatino Linotype" w:eastAsia="Palatino Linotype" w:hAnsi="Palatino Linotype" w:cs="Palatino Linotype"/>
          <w:sz w:val="2"/>
          <w:szCs w:val="2"/>
        </w:rPr>
        <w:pict>
          <v:group id="_x0000_s1031" style="width:144.65pt;height:.6pt;mso-position-horizontal-relative:char;mso-position-vertical-relative:line" coordsize="2893,12">
            <v:group id="_x0000_s1032" style="position:absolute;left:6;top:6;width:2881;height:2" coordorigin="6,6" coordsize="2881,2">
              <v:shape id="_x0000_s1033" style="position:absolute;left:6;top:6;width:2881;height:2" coordorigin="6,6" coordsize="2881,0" path="m6,6r2880,e" filled="f" strokeweight=".6pt">
                <v:path arrowok="t"/>
              </v:shape>
            </v:group>
            <w10:wrap type="none"/>
            <w10:anchorlock/>
          </v:group>
        </w:pict>
      </w:r>
    </w:p>
    <w:p w:rsidR="002A1594" w:rsidRDefault="002A1594">
      <w:pPr>
        <w:spacing w:before="2"/>
        <w:rPr>
          <w:rFonts w:ascii="Palatino Linotype" w:eastAsia="Palatino Linotype" w:hAnsi="Palatino Linotype" w:cs="Palatino Linotype"/>
          <w:sz w:val="5"/>
          <w:szCs w:val="5"/>
        </w:rPr>
      </w:pPr>
    </w:p>
    <w:p w:rsidR="002A1594" w:rsidRDefault="00073D1D">
      <w:pPr>
        <w:spacing w:before="33"/>
        <w:ind w:left="108" w:right="101"/>
        <w:jc w:val="both"/>
        <w:rPr>
          <w:rFonts w:ascii="Palatino Linotype" w:eastAsia="Palatino Linotype" w:hAnsi="Palatino Linotype" w:cs="Palatino Linotype"/>
          <w:sz w:val="21"/>
          <w:szCs w:val="21"/>
        </w:rPr>
      </w:pPr>
      <w:r>
        <w:rPr>
          <w:rFonts w:ascii="Palatino Linotype"/>
          <w:position w:val="6"/>
          <w:sz w:val="13"/>
        </w:rPr>
        <w:t xml:space="preserve">17 </w:t>
      </w:r>
      <w:r>
        <w:rPr>
          <w:rFonts w:ascii="Palatino Linotype"/>
          <w:sz w:val="21"/>
        </w:rPr>
        <w:t xml:space="preserve">Because the Defendants are moving for dismissal, the evidence must be viewed in the light most favorable to the EEOC. </w:t>
      </w:r>
      <w:r>
        <w:rPr>
          <w:rFonts w:ascii="Palatino Linotype"/>
          <w:i/>
          <w:sz w:val="21"/>
        </w:rPr>
        <w:t>Mitchell v. Miller</w:t>
      </w:r>
      <w:r>
        <w:rPr>
          <w:rFonts w:ascii="Palatino Linotype"/>
          <w:sz w:val="21"/>
        </w:rPr>
        <w:t>, 884 F. Supp. 2d 334, 375 n.22 (W.D. Pa. 2012). Defendants have made certain concessions solely for purposes of the summary judgment motions. F</w:t>
      </w:r>
      <w:r>
        <w:rPr>
          <w:rFonts w:ascii="Palatino Linotype"/>
          <w:sz w:val="17"/>
        </w:rPr>
        <w:t>ED</w:t>
      </w:r>
      <w:r>
        <w:rPr>
          <w:rFonts w:ascii="Palatino Linotype"/>
          <w:sz w:val="21"/>
        </w:rPr>
        <w:t>. R. C</w:t>
      </w:r>
      <w:r>
        <w:rPr>
          <w:rFonts w:ascii="Palatino Linotype"/>
          <w:sz w:val="17"/>
        </w:rPr>
        <w:t>IV</w:t>
      </w:r>
      <w:r>
        <w:rPr>
          <w:rFonts w:ascii="Palatino Linotype"/>
          <w:sz w:val="21"/>
        </w:rPr>
        <w:t xml:space="preserve">. P. 56(c)(1)(A). Those concessions are not binding in future </w:t>
      </w:r>
      <w:r>
        <w:rPr>
          <w:rFonts w:ascii="Palatino Linotype"/>
          <w:spacing w:val="5"/>
          <w:sz w:val="21"/>
        </w:rPr>
        <w:t xml:space="preserve"> </w:t>
      </w:r>
      <w:r>
        <w:rPr>
          <w:rFonts w:ascii="Palatino Linotype"/>
          <w:sz w:val="21"/>
        </w:rPr>
        <w:t>proceedings.</w:t>
      </w:r>
    </w:p>
    <w:p w:rsidR="002A1594" w:rsidRDefault="002A1594">
      <w:pPr>
        <w:spacing w:before="12"/>
        <w:rPr>
          <w:rFonts w:ascii="Palatino Linotype" w:eastAsia="Palatino Linotype" w:hAnsi="Palatino Linotype" w:cs="Palatino Linotype"/>
          <w:sz w:val="19"/>
          <w:szCs w:val="19"/>
        </w:rPr>
      </w:pPr>
    </w:p>
    <w:p w:rsidR="002A1594" w:rsidRDefault="00073D1D">
      <w:pPr>
        <w:pStyle w:val="BodyText"/>
        <w:ind w:left="4371" w:right="4369"/>
        <w:jc w:val="center"/>
      </w:pPr>
      <w:r>
        <w:t>53</w:t>
      </w:r>
    </w:p>
    <w:p w:rsidR="002A1594" w:rsidRDefault="002A1594">
      <w:pPr>
        <w:jc w:val="center"/>
        <w:sectPr w:rsidR="002A1594">
          <w:pgSz w:w="12240" w:h="15840"/>
          <w:pgMar w:top="540" w:right="162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Heading3"/>
        <w:numPr>
          <w:ilvl w:val="1"/>
          <w:numId w:val="1"/>
        </w:numPr>
        <w:tabs>
          <w:tab w:val="left" w:pos="1549"/>
        </w:tabs>
        <w:spacing w:before="28"/>
        <w:jc w:val="left"/>
        <w:rPr>
          <w:b w:val="0"/>
          <w:bCs w:val="0"/>
        </w:rPr>
      </w:pPr>
      <w:r>
        <w:t>The Dispute Concerning the Pre-Offer Drug</w:t>
      </w:r>
      <w:r>
        <w:rPr>
          <w:spacing w:val="-2"/>
        </w:rPr>
        <w:t xml:space="preserve"> </w:t>
      </w:r>
      <w:r>
        <w:rPr>
          <w:spacing w:val="-4"/>
        </w:rPr>
        <w:t>Testing</w:t>
      </w:r>
    </w:p>
    <w:p w:rsidR="002A1594" w:rsidRDefault="002A1594">
      <w:pPr>
        <w:spacing w:before="13"/>
        <w:rPr>
          <w:rFonts w:ascii="Palatino Linotype" w:eastAsia="Palatino Linotype" w:hAnsi="Palatino Linotype" w:cs="Palatino Linotype"/>
          <w:b/>
          <w:bCs/>
          <w:sz w:val="21"/>
          <w:szCs w:val="21"/>
        </w:rPr>
      </w:pPr>
    </w:p>
    <w:p w:rsidR="002A1594" w:rsidRDefault="00073D1D">
      <w:pPr>
        <w:pStyle w:val="BodyText"/>
        <w:spacing w:before="0" w:line="480" w:lineRule="auto"/>
        <w:ind w:right="101" w:firstLine="719"/>
        <w:jc w:val="both"/>
        <w:rPr>
          <w:rFonts w:cs="Palatino Linotype"/>
        </w:rPr>
      </w:pPr>
      <w:r>
        <w:rPr>
          <w:rFonts w:cs="Palatino Linotype"/>
        </w:rPr>
        <w:t xml:space="preserve">Under Title I, “any employee who is currently engaging in the illegal use of drugs” </w:t>
      </w:r>
      <w:r>
        <w:t xml:space="preserve">is not </w:t>
      </w:r>
      <w:r>
        <w:rPr>
          <w:rFonts w:cs="Palatino Linotype"/>
        </w:rPr>
        <w:t>considered “</w:t>
      </w:r>
      <w:r>
        <w:t>a qualifi</w:t>
      </w:r>
      <w:r>
        <w:rPr>
          <w:rFonts w:cs="Palatino Linotype"/>
        </w:rPr>
        <w:t>ed individual with a disability” entitled to prote</w:t>
      </w:r>
      <w:r>
        <w:t xml:space="preserve">ction from discrimination. 42 U.S.C. § 12114(a). The ADA specifically permits a covered entity to </w:t>
      </w:r>
      <w:r>
        <w:rPr>
          <w:rFonts w:cs="Palatino Linotype"/>
        </w:rPr>
        <w:t xml:space="preserve">“hold an employee who engages in the illegal use of drugs or who is an alcoholic to the </w:t>
      </w:r>
      <w:r>
        <w:t>same qualification standards for employment or job performance and beh</w:t>
      </w:r>
      <w:r>
        <w:t xml:space="preserve">avior that such entity holds other employees, even if any unsatisfactory performance or behavior is </w:t>
      </w:r>
      <w:r>
        <w:rPr>
          <w:rFonts w:cs="Palatino Linotype"/>
        </w:rPr>
        <w:t>related to the drug use or alcoholism of such employee.” 42 U.S.C. § 12114(c)(</w:t>
      </w:r>
      <w:r>
        <w:t xml:space="preserve">4). </w:t>
      </w:r>
      <w:r>
        <w:rPr>
          <w:spacing w:val="-2"/>
        </w:rPr>
        <w:t>The</w:t>
      </w:r>
      <w:r>
        <w:rPr>
          <w:spacing w:val="51"/>
        </w:rPr>
        <w:t xml:space="preserve"> </w:t>
      </w:r>
      <w:r>
        <w:t>Third Circuit has construed these statutory provisions to mean that th</w:t>
      </w:r>
      <w:r>
        <w:t xml:space="preserve">e ADA does not require covered employers to reasonably accommodate individuals whose shortcomings </w:t>
      </w:r>
      <w:r>
        <w:rPr>
          <w:rFonts w:cs="Palatino Linotype"/>
        </w:rPr>
        <w:t xml:space="preserve">are attributable to ongoing “drug and alcohol addiction.” </w:t>
      </w:r>
      <w:r>
        <w:rPr>
          <w:rFonts w:cs="Palatino Linotype"/>
          <w:i/>
        </w:rPr>
        <w:t xml:space="preserve">Salley </w:t>
      </w:r>
      <w:r>
        <w:rPr>
          <w:rFonts w:cs="Palatino Linotype"/>
          <w:i/>
          <w:spacing w:val="-6"/>
        </w:rPr>
        <w:t xml:space="preserve">v. </w:t>
      </w:r>
      <w:r>
        <w:rPr>
          <w:rFonts w:cs="Palatino Linotype"/>
          <w:i/>
        </w:rPr>
        <w:t>Circuit City Stores, Inc.</w:t>
      </w:r>
      <w:r>
        <w:t xml:space="preserve">, 160 </w:t>
      </w:r>
      <w:r>
        <w:rPr>
          <w:spacing w:val="-4"/>
        </w:rPr>
        <w:t xml:space="preserve">F.3d </w:t>
      </w:r>
      <w:r>
        <w:t xml:space="preserve">977, 981 (3d </w:t>
      </w:r>
      <w:r>
        <w:rPr>
          <w:spacing w:val="-4"/>
        </w:rPr>
        <w:t xml:space="preserve">Cir. </w:t>
      </w:r>
      <w:r>
        <w:t xml:space="preserve">1998). A separate provision of </w:t>
      </w:r>
      <w:r>
        <w:rPr>
          <w:rFonts w:cs="Palatino Linotype"/>
        </w:rPr>
        <w:t>Title</w:t>
      </w:r>
      <w:r>
        <w:rPr>
          <w:rFonts w:cs="Palatino Linotype"/>
        </w:rPr>
        <w:t xml:space="preserve"> I specifically provides that “a test to determine the illegal use of drugs shall not be considered a medical examination” </w:t>
      </w:r>
      <w:r>
        <w:t xml:space="preserve">within the meaning of § 12112(d). 42 U.S.C. § 12114(d)(1). The statutory definition of the </w:t>
      </w:r>
      <w:r>
        <w:rPr>
          <w:rFonts w:cs="Palatino Linotype"/>
        </w:rPr>
        <w:t xml:space="preserve">term “illegal use of drugs” </w:t>
      </w:r>
      <w:r>
        <w:t>expres</w:t>
      </w:r>
      <w:r>
        <w:rPr>
          <w:rFonts w:cs="Palatino Linotype"/>
        </w:rPr>
        <w:t>sly excl</w:t>
      </w:r>
      <w:r>
        <w:rPr>
          <w:rFonts w:cs="Palatino Linotype"/>
        </w:rPr>
        <w:t>udes “</w:t>
      </w:r>
      <w:r>
        <w:t xml:space="preserve">the use of a drug taken under supervision </w:t>
      </w:r>
      <w:r>
        <w:rPr>
          <w:rFonts w:cs="Palatino Linotype"/>
        </w:rPr>
        <w:t>by a licensed health care professional.”  42 U.S.C. §</w:t>
      </w:r>
      <w:r>
        <w:rPr>
          <w:rFonts w:cs="Palatino Linotype"/>
          <w:spacing w:val="-14"/>
        </w:rPr>
        <w:t xml:space="preserve"> </w:t>
      </w:r>
      <w:r>
        <w:rPr>
          <w:rFonts w:cs="Palatino Linotype"/>
        </w:rPr>
        <w:t>12111(6)(A).</w:t>
      </w:r>
    </w:p>
    <w:p w:rsidR="002A1594" w:rsidRDefault="00073D1D">
      <w:pPr>
        <w:pStyle w:val="BodyText"/>
        <w:spacing w:before="0" w:line="480" w:lineRule="auto"/>
        <w:ind w:right="103" w:firstLine="719"/>
        <w:jc w:val="both"/>
        <w:rPr>
          <w:rFonts w:cs="Palatino Linotype"/>
        </w:rPr>
      </w:pPr>
      <w:r>
        <w:rPr>
          <w:rFonts w:cs="Palatino Linotype"/>
        </w:rPr>
        <w:t xml:space="preserve">Four of the individuals identified as “disabled” by the EEOC were apparently </w:t>
      </w:r>
      <w:r>
        <w:t>denied positions with the CCC because their drug test</w:t>
      </w:r>
      <w:r>
        <w:rPr>
          <w:rFonts w:cs="Palatino Linotype"/>
        </w:rPr>
        <w:t xml:space="preserve">s had yielded “positive” results. </w:t>
      </w:r>
      <w:r>
        <w:t>(ECF No. 99-2 ¶ 55)</w:t>
      </w:r>
      <w:r>
        <w:rPr>
          <w:rFonts w:cs="Palatino Linotype"/>
        </w:rPr>
        <w:t xml:space="preserve">. John Martin (“Martin”), a licensed clinical laboratory scientist, </w:t>
      </w:r>
      <w:r>
        <w:t>testified that prescribed medications taken by the four unsuccessful applicants could have resulted in false findings that they were us</w:t>
      </w:r>
      <w:r>
        <w:t xml:space="preserve">ing illegal drugs. (ECF No. 116-8 at 5-7). He further   stated   </w:t>
      </w:r>
      <w:r>
        <w:rPr>
          <w:rFonts w:cs="Palatino Linotype"/>
        </w:rPr>
        <w:t xml:space="preserve">that   “alternate   methods”   of   testing   were   needed   to   confirm   </w:t>
      </w:r>
      <w:r>
        <w:rPr>
          <w:rFonts w:cs="Palatino Linotype"/>
          <w:spacing w:val="7"/>
        </w:rPr>
        <w:t xml:space="preserve"> </w:t>
      </w:r>
      <w:r>
        <w:rPr>
          <w:rFonts w:cs="Palatino Linotype"/>
        </w:rPr>
        <w:t>the</w:t>
      </w:r>
    </w:p>
    <w:p w:rsidR="002A1594" w:rsidRDefault="00073D1D">
      <w:pPr>
        <w:pStyle w:val="BodyText"/>
        <w:ind w:left="4371" w:right="4369"/>
        <w:jc w:val="center"/>
      </w:pPr>
      <w:r>
        <w:t>54</w:t>
      </w:r>
    </w:p>
    <w:p w:rsidR="002A1594" w:rsidRDefault="002A1594">
      <w:pPr>
        <w:jc w:val="center"/>
        <w:sectPr w:rsidR="002A1594">
          <w:pgSz w:w="12240" w:h="15840"/>
          <w:pgMar w:top="540" w:right="162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101"/>
        <w:jc w:val="both"/>
      </w:pPr>
      <w:r>
        <w:rPr>
          <w:rFonts w:cs="Palatino Linotype"/>
        </w:rPr>
        <w:t xml:space="preserve">“presumptive[ly] positive” results. </w:t>
      </w:r>
      <w:r>
        <w:t>(</w:t>
      </w:r>
      <w:r>
        <w:rPr>
          <w:rFonts w:cs="Palatino Linotype"/>
          <w:i/>
        </w:rPr>
        <w:t xml:space="preserve">Id. </w:t>
      </w:r>
      <w:r>
        <w:t>at 8). Hoover testified that she had discarded t</w:t>
      </w:r>
      <w:r>
        <w:t xml:space="preserve">he </w:t>
      </w:r>
      <w:r>
        <w:rPr>
          <w:rFonts w:cs="Palatino Linotype"/>
        </w:rPr>
        <w:t xml:space="preserve">applicants’ urine samples immediately after “testing” them for evidence of </w:t>
      </w:r>
      <w:r>
        <w:t xml:space="preserve">illicit drug use. (ECF No. 116-9 at 6, 9). </w:t>
      </w:r>
      <w:r>
        <w:rPr>
          <w:rFonts w:cs="Palatino Linotype"/>
        </w:rPr>
        <w:t xml:space="preserve">The four applicants all testified that the “positive” test results had </w:t>
      </w:r>
      <w:r>
        <w:t>resulted from the use of legal medications. (ECF No. 101-5 at 2;</w:t>
      </w:r>
      <w:r>
        <w:t xml:space="preserve"> ECF No. 116-47 at 5-7;  ECF No. 116-48 at 3-7; ECF No. 116-49 at</w:t>
      </w:r>
      <w:r>
        <w:rPr>
          <w:spacing w:val="-6"/>
        </w:rPr>
        <w:t xml:space="preserve"> </w:t>
      </w:r>
      <w:r>
        <w:t>5).</w:t>
      </w:r>
    </w:p>
    <w:p w:rsidR="002A1594" w:rsidRDefault="00073D1D">
      <w:pPr>
        <w:pStyle w:val="BodyText"/>
        <w:spacing w:before="1" w:line="480" w:lineRule="auto"/>
        <w:ind w:right="102" w:firstLine="719"/>
        <w:jc w:val="both"/>
      </w:pPr>
      <w:r>
        <w:rPr>
          <w:rFonts w:cs="Palatino Linotype"/>
        </w:rPr>
        <w:t xml:space="preserve">The Defendants argue that the drug tests conducted on the applicants’ urine specimens did not constitute “medical examinations” prohibited by § 12112(d), even if </w:t>
      </w:r>
      <w:r>
        <w:t>they detected evidence o</w:t>
      </w:r>
      <w:r>
        <w:t>f legally prescribed medications. (ECF No. 141 at 6). The EEOC counters that argument by pointing to the legislative history of the ADA, which suggests that the language permitting the use of a pre-</w:t>
      </w:r>
      <w:r>
        <w:rPr>
          <w:rFonts w:cs="Palatino Linotype"/>
        </w:rPr>
        <w:t xml:space="preserve">offer “test to determine the illegal use of drugs” </w:t>
      </w:r>
      <w:r>
        <w:rPr>
          <w:rFonts w:cs="Palatino Linotype"/>
          <w:spacing w:val="-3"/>
        </w:rPr>
        <w:t xml:space="preserve">was </w:t>
      </w:r>
      <w:r>
        <w:rPr>
          <w:rFonts w:cs="Palatino Linotype"/>
        </w:rPr>
        <w:t>not intend</w:t>
      </w:r>
      <w:r>
        <w:t xml:space="preserve">ed to allow a covered entity to utilize a test that detects the use of both legal and illegal drugs. (ECF No. 140-1 at 44). According to the EEOC, the tests </w:t>
      </w:r>
      <w:r>
        <w:rPr>
          <w:rFonts w:cs="Palatino Linotype"/>
        </w:rPr>
        <w:t xml:space="preserve">conducted on the applicants’ urine specimens constituted “medical examinations” even if </w:t>
      </w:r>
      <w:r>
        <w:t>t</w:t>
      </w:r>
      <w:r>
        <w:t xml:space="preserve">hey were only </w:t>
      </w:r>
      <w:r>
        <w:rPr>
          <w:rFonts w:cs="Palatino Linotype"/>
          <w:i/>
        </w:rPr>
        <w:t xml:space="preserve">intended </w:t>
      </w:r>
      <w:r>
        <w:t>to detect evidence of illegal drug use.  (ECF No. 114 at</w:t>
      </w:r>
      <w:r>
        <w:rPr>
          <w:spacing w:val="-21"/>
        </w:rPr>
        <w:t xml:space="preserve"> </w:t>
      </w:r>
      <w:r>
        <w:t>32-33).</w:t>
      </w:r>
    </w:p>
    <w:p w:rsidR="002A1594" w:rsidRDefault="00073D1D">
      <w:pPr>
        <w:pStyle w:val="BodyText"/>
        <w:spacing w:before="1" w:line="480" w:lineRule="auto"/>
        <w:ind w:right="102" w:firstLine="719"/>
        <w:jc w:val="both"/>
      </w:pPr>
      <w:r>
        <w:rPr>
          <w:rFonts w:cs="Palatino Linotype"/>
        </w:rPr>
        <w:t xml:space="preserve">The provision of Title I governing the use of drug tests “is given more precise content by the neighboring [provisions] with which it is associated.” </w:t>
      </w:r>
      <w:r>
        <w:rPr>
          <w:rFonts w:cs="Palatino Linotype"/>
          <w:i/>
        </w:rPr>
        <w:t xml:space="preserve">United States </w:t>
      </w:r>
      <w:r>
        <w:rPr>
          <w:rFonts w:cs="Palatino Linotype"/>
          <w:i/>
          <w:spacing w:val="-6"/>
        </w:rPr>
        <w:t xml:space="preserve">v. </w:t>
      </w:r>
      <w:r>
        <w:rPr>
          <w:rFonts w:cs="Palatino Linotype"/>
          <w:i/>
        </w:rPr>
        <w:t>W</w:t>
      </w:r>
      <w:r>
        <w:rPr>
          <w:rFonts w:cs="Palatino Linotype"/>
          <w:i/>
        </w:rPr>
        <w:t>illiams</w:t>
      </w:r>
      <w:r>
        <w:t xml:space="preserve">, 553 U.S. 285, 294 (2008). The language excluding users of illegal drugs from the category of persons entitled to statutory protection is limited by a rule of construction </w:t>
      </w:r>
      <w:r>
        <w:rPr>
          <w:rFonts w:cs="Palatino Linotype"/>
        </w:rPr>
        <w:t>extending protection to any individual who “is erroneously regarded as engag</w:t>
      </w:r>
      <w:r>
        <w:rPr>
          <w:rFonts w:cs="Palatino Linotype"/>
        </w:rPr>
        <w:t xml:space="preserve">ing in such </w:t>
      </w:r>
      <w:r>
        <w:t>use, but is no</w:t>
      </w:r>
      <w:r>
        <w:rPr>
          <w:rFonts w:cs="Palatino Linotype"/>
        </w:rPr>
        <w:t xml:space="preserve">t engaging in such use.” 42 U.S.C. § 12114(b)(3). </w:t>
      </w:r>
      <w:r>
        <w:rPr>
          <w:rFonts w:cs="Palatino Linotype"/>
          <w:spacing w:val="-17"/>
        </w:rPr>
        <w:t xml:space="preserve">“A </w:t>
      </w:r>
      <w:r>
        <w:rPr>
          <w:rFonts w:cs="Palatino Linotype"/>
        </w:rPr>
        <w:t xml:space="preserve">sensible reading of the </w:t>
      </w:r>
      <w:r>
        <w:t xml:space="preserve">statute instructs that an employer may only rely on a test for illicit drug use to make </w:t>
      </w:r>
      <w:r>
        <w:rPr>
          <w:rFonts w:cs="Palatino Linotype"/>
        </w:rPr>
        <w:t xml:space="preserve">employment decisions based on that illicit use.”         </w:t>
      </w:r>
      <w:r>
        <w:rPr>
          <w:rFonts w:cs="Palatino Linotype"/>
          <w:spacing w:val="20"/>
        </w:rPr>
        <w:t xml:space="preserve"> </w:t>
      </w:r>
      <w:r>
        <w:rPr>
          <w:rFonts w:cs="Palatino Linotype"/>
          <w:i/>
        </w:rPr>
        <w:t>Connoll</w:t>
      </w:r>
      <w:r>
        <w:rPr>
          <w:rFonts w:cs="Palatino Linotype"/>
          <w:i/>
        </w:rPr>
        <w:t xml:space="preserve">y </w:t>
      </w:r>
      <w:r>
        <w:rPr>
          <w:rFonts w:cs="Palatino Linotype"/>
          <w:i/>
          <w:spacing w:val="-6"/>
        </w:rPr>
        <w:t xml:space="preserve">v.  </w:t>
      </w:r>
      <w:r>
        <w:rPr>
          <w:rFonts w:cs="Palatino Linotype"/>
          <w:i/>
        </w:rPr>
        <w:t>First Personal Bank</w:t>
      </w:r>
      <w:r>
        <w:t xml:space="preserve">, 623 </w:t>
      </w:r>
      <w:r>
        <w:rPr>
          <w:spacing w:val="-8"/>
        </w:rPr>
        <w:t>F.</w:t>
      </w:r>
    </w:p>
    <w:p w:rsidR="002A1594" w:rsidRDefault="00073D1D">
      <w:pPr>
        <w:pStyle w:val="BodyText"/>
        <w:ind w:left="4371" w:right="4369"/>
        <w:jc w:val="center"/>
      </w:pPr>
      <w:r>
        <w:t>55</w:t>
      </w:r>
    </w:p>
    <w:p w:rsidR="002A1594" w:rsidRDefault="002A1594">
      <w:pPr>
        <w:jc w:val="center"/>
        <w:sectPr w:rsidR="002A1594">
          <w:pgSz w:w="12240" w:h="15840"/>
          <w:pgMar w:top="540" w:right="162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106"/>
        <w:jc w:val="both"/>
        <w:rPr>
          <w:rFonts w:cs="Palatino Linotype"/>
        </w:rPr>
      </w:pPr>
      <w:r>
        <w:t xml:space="preserve">Supp. 2d 928, 931 (N.D. Ill. 2008). </w:t>
      </w:r>
      <w:r>
        <w:rPr>
          <w:spacing w:val="-3"/>
        </w:rPr>
        <w:t xml:space="preserve">Consequently, </w:t>
      </w:r>
      <w:r>
        <w:t>a pre-</w:t>
      </w:r>
      <w:r>
        <w:rPr>
          <w:rFonts w:cs="Palatino Linotype"/>
        </w:rPr>
        <w:t xml:space="preserve">offer drug test “may not be </w:t>
      </w:r>
      <w:r>
        <w:t>administered under the guise of testing for illicit drug use when in fact the results are  used to make employment dec</w:t>
      </w:r>
      <w:r>
        <w:t>isions based on both legal and illegal drug use alike</w:t>
      </w:r>
      <w:r>
        <w:rPr>
          <w:rFonts w:cs="Palatino Linotype"/>
        </w:rPr>
        <w:t>.”</w:t>
      </w:r>
      <w:r>
        <w:rPr>
          <w:rFonts w:cs="Palatino Linotype"/>
          <w:spacing w:val="33"/>
        </w:rPr>
        <w:t xml:space="preserve"> </w:t>
      </w:r>
      <w:r>
        <w:rPr>
          <w:rFonts w:cs="Palatino Linotype"/>
          <w:i/>
        </w:rPr>
        <w:t>Id.</w:t>
      </w:r>
    </w:p>
    <w:p w:rsidR="002A1594" w:rsidRDefault="00073D1D">
      <w:pPr>
        <w:pStyle w:val="BodyText"/>
        <w:spacing w:before="0" w:line="480" w:lineRule="auto"/>
        <w:ind w:right="101" w:firstLine="719"/>
        <w:jc w:val="both"/>
      </w:pPr>
      <w:r>
        <w:t xml:space="preserve">There may be instances in which narrowly tailored drug tests do not constitute </w:t>
      </w:r>
      <w:r>
        <w:rPr>
          <w:rFonts w:cs="Palatino Linotype"/>
        </w:rPr>
        <w:t>“medical examination</w:t>
      </w:r>
      <w:r>
        <w:t>s</w:t>
      </w:r>
      <w:r>
        <w:rPr>
          <w:rFonts w:cs="Palatino Linotype"/>
        </w:rPr>
        <w:t xml:space="preserve">” </w:t>
      </w:r>
      <w:r>
        <w:t xml:space="preserve">even though they have the incidental effect of detecting evidence of legal drug use. The tests conducted in this case, </w:t>
      </w:r>
      <w:r>
        <w:rPr>
          <w:spacing w:val="-3"/>
        </w:rPr>
        <w:t xml:space="preserve">however, </w:t>
      </w:r>
      <w:r>
        <w:t>clearly qualif</w:t>
      </w:r>
      <w:r>
        <w:rPr>
          <w:rFonts w:cs="Palatino Linotype"/>
        </w:rPr>
        <w:t xml:space="preserve">ied as “medical examinations” governed by § 12112(d). Each </w:t>
      </w:r>
      <w:r>
        <w:rPr>
          <w:rFonts w:cs="Palatino Linotype"/>
          <w:spacing w:val="-3"/>
        </w:rPr>
        <w:t>applicant’</w:t>
      </w:r>
      <w:r>
        <w:rPr>
          <w:spacing w:val="-3"/>
        </w:rPr>
        <w:t xml:space="preserve">s </w:t>
      </w:r>
      <w:r>
        <w:t>physical examination included a urinalysis.</w:t>
      </w:r>
      <w:r>
        <w:t xml:space="preserve"> (ECF No. 116-48 at 11). Hoover testified that each urine sample </w:t>
      </w:r>
      <w:r>
        <w:rPr>
          <w:spacing w:val="-3"/>
        </w:rPr>
        <w:t xml:space="preserve">was </w:t>
      </w:r>
      <w:r>
        <w:t xml:space="preserve">tested for both medical and drug-use purposes before being discarded. (ECF No. 116-9 at 7-9). </w:t>
      </w:r>
      <w:r>
        <w:rPr>
          <w:spacing w:val="-2"/>
        </w:rPr>
        <w:t xml:space="preserve">She </w:t>
      </w:r>
      <w:r>
        <w:rPr>
          <w:rFonts w:cs="Palatino Linotype"/>
        </w:rPr>
        <w:t xml:space="preserve">explained that the samples were tested for “elements” like “glucose” and “blood.” </w:t>
      </w:r>
      <w:r>
        <w:t>(ECF No</w:t>
      </w:r>
      <w:r>
        <w:t xml:space="preserve">. 116-9 at 8). Since the pre-offer examinations and inquiries conducted in this case were obviously designed to elicit medical information extending far beyond evidence of illegal drug </w:t>
      </w:r>
      <w:r>
        <w:rPr>
          <w:rFonts w:cs="Palatino Linotype"/>
        </w:rPr>
        <w:t>use, the tests performed on the applicants’ urine specimens did not fal</w:t>
      </w:r>
      <w:r>
        <w:rPr>
          <w:rFonts w:cs="Palatino Linotype"/>
        </w:rPr>
        <w:t xml:space="preserve">l within the </w:t>
      </w:r>
      <w:r>
        <w:rPr>
          <w:rFonts w:cs="Palatino Linotype"/>
          <w:spacing w:val="-8"/>
        </w:rPr>
        <w:t xml:space="preserve">ADA’s </w:t>
      </w:r>
      <w:r>
        <w:rPr>
          <w:rFonts w:cs="Palatino Linotype"/>
        </w:rPr>
        <w:t xml:space="preserve">exception permitting “test[s] to determine the illegal use of drugs.” </w:t>
      </w:r>
      <w:r>
        <w:rPr>
          <w:rFonts w:cs="Palatino Linotype"/>
          <w:i/>
        </w:rPr>
        <w:t xml:space="preserve">Harrison </w:t>
      </w:r>
      <w:r>
        <w:rPr>
          <w:rFonts w:cs="Palatino Linotype"/>
          <w:i/>
          <w:spacing w:val="-8"/>
        </w:rPr>
        <w:t xml:space="preserve">v. </w:t>
      </w:r>
      <w:r>
        <w:rPr>
          <w:rFonts w:cs="Palatino Linotype"/>
          <w:i/>
        </w:rPr>
        <w:t>Benchmark Elecs. Huntsville, Inc.</w:t>
      </w:r>
      <w:r>
        <w:t xml:space="preserve">, 593 </w:t>
      </w:r>
      <w:r>
        <w:rPr>
          <w:spacing w:val="-4"/>
        </w:rPr>
        <w:t xml:space="preserve">F.3d </w:t>
      </w:r>
      <w:r>
        <w:t xml:space="preserve">1206, 1215-16 (11th </w:t>
      </w:r>
      <w:r>
        <w:rPr>
          <w:spacing w:val="-4"/>
        </w:rPr>
        <w:t>Cir.</w:t>
      </w:r>
      <w:r>
        <w:rPr>
          <w:spacing w:val="-15"/>
        </w:rPr>
        <w:t xml:space="preserve"> </w:t>
      </w:r>
      <w:r>
        <w:t>2010).</w:t>
      </w:r>
    </w:p>
    <w:p w:rsidR="002A1594" w:rsidRDefault="00073D1D">
      <w:pPr>
        <w:pStyle w:val="BodyText"/>
        <w:spacing w:before="0" w:line="480" w:lineRule="auto"/>
        <w:ind w:right="101" w:firstLine="719"/>
        <w:jc w:val="both"/>
      </w:pPr>
      <w:r>
        <w:t>The Court acknowledges that two of the unsuccessful applicants may have been re</w:t>
      </w:r>
      <w:r>
        <w:t>jected because of their failure to disclose certain medications on their pre-placement evaluation form</w:t>
      </w:r>
      <w:r>
        <w:rPr>
          <w:rFonts w:cs="Palatino Linotype"/>
        </w:rPr>
        <w:t>s. Linda Sidor (“Linda”) te</w:t>
      </w:r>
      <w:r>
        <w:t>stified that she had taken a dose of Percocet shortly before her physical examination in order to alleviate cold-related sympto</w:t>
      </w:r>
      <w:r>
        <w:t>ms.</w:t>
      </w:r>
      <w:r>
        <w:rPr>
          <w:position w:val="6"/>
          <w:sz w:val="13"/>
          <w:szCs w:val="13"/>
        </w:rPr>
        <w:t xml:space="preserve">18 </w:t>
      </w:r>
      <w:r>
        <w:t>(ECF No. 116-48 at 3-5).  Percocet was not listed on her evaluation form.  (</w:t>
      </w:r>
      <w:r>
        <w:rPr>
          <w:rFonts w:cs="Palatino Linotype"/>
          <w:i/>
        </w:rPr>
        <w:t xml:space="preserve">Id. </w:t>
      </w:r>
      <w:r>
        <w:t xml:space="preserve">at 8).   </w:t>
      </w:r>
      <w:r>
        <w:rPr>
          <w:spacing w:val="51"/>
        </w:rPr>
        <w:t xml:space="preserve"> </w:t>
      </w:r>
      <w:r>
        <w:t>Linda</w:t>
      </w:r>
    </w:p>
    <w:p w:rsidR="002A1594" w:rsidRDefault="002A1594">
      <w:pPr>
        <w:spacing w:before="1"/>
        <w:rPr>
          <w:rFonts w:ascii="Palatino Linotype" w:eastAsia="Palatino Linotype" w:hAnsi="Palatino Linotype" w:cs="Palatino Linotype"/>
          <w:sz w:val="17"/>
          <w:szCs w:val="17"/>
        </w:rPr>
      </w:pPr>
    </w:p>
    <w:p w:rsidR="002A1594" w:rsidRDefault="00073D1D">
      <w:pPr>
        <w:spacing w:line="20" w:lineRule="exact"/>
        <w:ind w:left="102"/>
        <w:rPr>
          <w:rFonts w:ascii="Palatino Linotype" w:eastAsia="Palatino Linotype" w:hAnsi="Palatino Linotype" w:cs="Palatino Linotype"/>
          <w:sz w:val="2"/>
          <w:szCs w:val="2"/>
        </w:rPr>
      </w:pPr>
      <w:r>
        <w:rPr>
          <w:rFonts w:ascii="Palatino Linotype" w:eastAsia="Palatino Linotype" w:hAnsi="Palatino Linotype" w:cs="Palatino Linotype"/>
          <w:sz w:val="2"/>
          <w:szCs w:val="2"/>
        </w:rPr>
      </w:r>
      <w:r>
        <w:rPr>
          <w:rFonts w:ascii="Palatino Linotype" w:eastAsia="Palatino Linotype" w:hAnsi="Palatino Linotype" w:cs="Palatino Linotype"/>
          <w:sz w:val="2"/>
          <w:szCs w:val="2"/>
        </w:rPr>
        <w:pict>
          <v:group id="_x0000_s1028" style="width:144.65pt;height:.6pt;mso-position-horizontal-relative:char;mso-position-vertical-relative:line" coordsize="2893,12">
            <v:group id="_x0000_s1029" style="position:absolute;left:6;top:6;width:2881;height:2" coordorigin="6,6" coordsize="2881,2">
              <v:shape id="_x0000_s1030" style="position:absolute;left:6;top:6;width:2881;height:2" coordorigin="6,6" coordsize="2881,0" path="m6,6r2880,e" filled="f" strokeweight=".6pt">
                <v:path arrowok="t"/>
              </v:shape>
            </v:group>
            <w10:wrap type="none"/>
            <w10:anchorlock/>
          </v:group>
        </w:pict>
      </w:r>
    </w:p>
    <w:p w:rsidR="002A1594" w:rsidRDefault="002A1594">
      <w:pPr>
        <w:spacing w:before="2"/>
        <w:rPr>
          <w:rFonts w:ascii="Palatino Linotype" w:eastAsia="Palatino Linotype" w:hAnsi="Palatino Linotype" w:cs="Palatino Linotype"/>
          <w:sz w:val="5"/>
          <w:szCs w:val="5"/>
        </w:rPr>
      </w:pPr>
    </w:p>
    <w:p w:rsidR="002A1594" w:rsidRDefault="00073D1D">
      <w:pPr>
        <w:spacing w:before="33"/>
        <w:ind w:left="108" w:right="149"/>
        <w:rPr>
          <w:rFonts w:ascii="Palatino Linotype" w:eastAsia="Palatino Linotype" w:hAnsi="Palatino Linotype" w:cs="Palatino Linotype"/>
          <w:sz w:val="21"/>
          <w:szCs w:val="21"/>
        </w:rPr>
      </w:pPr>
      <w:r>
        <w:rPr>
          <w:rFonts w:ascii="Palatino Linotype"/>
          <w:position w:val="6"/>
          <w:sz w:val="13"/>
        </w:rPr>
        <w:t xml:space="preserve">18 </w:t>
      </w:r>
      <w:r>
        <w:rPr>
          <w:rFonts w:ascii="Palatino Linotype"/>
          <w:sz w:val="21"/>
        </w:rPr>
        <w:t>Linda apparently received a prescription for Percocet after sustaining serious head injuries  in an automobile accident.  (ECF No. 116-48 at</w:t>
      </w:r>
      <w:r>
        <w:rPr>
          <w:rFonts w:ascii="Palatino Linotype"/>
          <w:spacing w:val="-8"/>
          <w:sz w:val="21"/>
        </w:rPr>
        <w:t xml:space="preserve"> </w:t>
      </w:r>
      <w:r>
        <w:rPr>
          <w:rFonts w:ascii="Palatino Linotype"/>
          <w:sz w:val="21"/>
        </w:rPr>
        <w:t>7).</w:t>
      </w:r>
    </w:p>
    <w:p w:rsidR="002A1594" w:rsidRDefault="002A1594">
      <w:pPr>
        <w:spacing w:before="12"/>
        <w:rPr>
          <w:rFonts w:ascii="Palatino Linotype" w:eastAsia="Palatino Linotype" w:hAnsi="Palatino Linotype" w:cs="Palatino Linotype"/>
          <w:sz w:val="19"/>
          <w:szCs w:val="19"/>
        </w:rPr>
      </w:pPr>
    </w:p>
    <w:p w:rsidR="002A1594" w:rsidRDefault="00073D1D">
      <w:pPr>
        <w:pStyle w:val="BodyText"/>
        <w:ind w:left="4371" w:right="4369"/>
        <w:jc w:val="center"/>
      </w:pPr>
      <w:r>
        <w:t>56</w:t>
      </w:r>
    </w:p>
    <w:p w:rsidR="002A1594" w:rsidRDefault="002A1594">
      <w:pPr>
        <w:jc w:val="center"/>
        <w:sectPr w:rsidR="002A1594">
          <w:pgSz w:w="12240" w:h="15840"/>
          <w:pgMar w:top="540" w:right="162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121"/>
        <w:jc w:val="both"/>
      </w:pPr>
      <w:r>
        <w:t>explained that she had listed only her daily medic</w:t>
      </w:r>
      <w:r>
        <w:t>ations on the form, and that she had not been using Percocet on a regular basis at the time of the examination. (</w:t>
      </w:r>
      <w:r>
        <w:rPr>
          <w:rFonts w:cs="Palatino Linotype"/>
          <w:i/>
        </w:rPr>
        <w:t xml:space="preserve">Id. </w:t>
      </w:r>
      <w:r>
        <w:t xml:space="preserve">at 5). Chelsea </w:t>
      </w:r>
      <w:r>
        <w:rPr>
          <w:rFonts w:cs="Palatino Linotype"/>
        </w:rPr>
        <w:t xml:space="preserve">Siska (“Siska”) was evidently reluctant to disclose that she was using methadone in </w:t>
      </w:r>
      <w:r>
        <w:t>connection with a lawful drug rehabilita</w:t>
      </w:r>
      <w:r>
        <w:t xml:space="preserve">tion program. (ECF No. 116-49 at 5). She testified that methadone had not yielded </w:t>
      </w:r>
      <w:r>
        <w:rPr>
          <w:rFonts w:cs="Palatino Linotype"/>
        </w:rPr>
        <w:t>“</w:t>
      </w:r>
      <w:r>
        <w:t>positive</w:t>
      </w:r>
      <w:r>
        <w:rPr>
          <w:rFonts w:cs="Palatino Linotype"/>
        </w:rPr>
        <w:t xml:space="preserve">” </w:t>
      </w:r>
      <w:r>
        <w:t>test results on previous occasions.</w:t>
      </w:r>
      <w:r>
        <w:rPr>
          <w:spacing w:val="25"/>
        </w:rPr>
        <w:t xml:space="preserve"> </w:t>
      </w:r>
      <w:r>
        <w:t>(</w:t>
      </w:r>
      <w:r>
        <w:rPr>
          <w:rFonts w:cs="Palatino Linotype"/>
          <w:i/>
        </w:rPr>
        <w:t>Id.</w:t>
      </w:r>
      <w:r>
        <w:t>).</w:t>
      </w:r>
    </w:p>
    <w:p w:rsidR="002A1594" w:rsidRDefault="00073D1D">
      <w:pPr>
        <w:pStyle w:val="BodyText"/>
        <w:spacing w:before="1" w:line="480" w:lineRule="auto"/>
        <w:ind w:right="125" w:firstLine="719"/>
        <w:jc w:val="both"/>
      </w:pPr>
      <w:r>
        <w:rPr>
          <w:rFonts w:cs="Palatino Linotype"/>
          <w:spacing w:val="-4"/>
        </w:rPr>
        <w:t xml:space="preserve">Linda’s </w:t>
      </w:r>
      <w:r>
        <w:rPr>
          <w:rFonts w:cs="Palatino Linotype"/>
        </w:rPr>
        <w:t xml:space="preserve">“positive” </w:t>
      </w:r>
      <w:r>
        <w:t xml:space="preserve">test result caused the LCNRC to suspend her until the matter could be resolved. (ECF No. 134-4 at 4). After passing a subsequent drug test, Linda </w:t>
      </w:r>
      <w:r>
        <w:rPr>
          <w:spacing w:val="-3"/>
        </w:rPr>
        <w:t xml:space="preserve">was </w:t>
      </w:r>
      <w:r>
        <w:t>allowed to return to work. (</w:t>
      </w:r>
      <w:r>
        <w:rPr>
          <w:rFonts w:cs="Palatino Linotype"/>
          <w:i/>
        </w:rPr>
        <w:t xml:space="preserve">Id. </w:t>
      </w:r>
      <w:r>
        <w:t>at 4-5). She continued to work for the LCNRC until December 29, 2009. (</w:t>
      </w:r>
      <w:r>
        <w:rPr>
          <w:rFonts w:cs="Palatino Linotype"/>
          <w:i/>
        </w:rPr>
        <w:t>Id.</w:t>
      </w:r>
      <w:r>
        <w:rPr>
          <w:rFonts w:cs="Palatino Linotype"/>
          <w:i/>
        </w:rPr>
        <w:t xml:space="preserve"> </w:t>
      </w:r>
      <w:r>
        <w:t>at 5). The results of the follow-up drug test requested by the LCNRC were apparently not forwarded to Lengle. In an affidavit executed on September 3, 2013, Lengle declared that she had not sought additional information from Siska because the completed pr</w:t>
      </w:r>
      <w:r>
        <w:t>e-placement evaluation form had not listed any medications that co</w:t>
      </w:r>
      <w:r>
        <w:rPr>
          <w:rFonts w:cs="Palatino Linotype"/>
        </w:rPr>
        <w:t xml:space="preserve">uld have caused someone to test “positive for methadone.”  </w:t>
      </w:r>
      <w:r>
        <w:t>(ECF No. 134-2 ¶¶</w:t>
      </w:r>
      <w:r>
        <w:rPr>
          <w:spacing w:val="-28"/>
        </w:rPr>
        <w:t xml:space="preserve"> </w:t>
      </w:r>
      <w:r>
        <w:t>17-18).</w:t>
      </w:r>
    </w:p>
    <w:p w:rsidR="002A1594" w:rsidRDefault="00073D1D">
      <w:pPr>
        <w:pStyle w:val="BodyText"/>
        <w:spacing w:before="0" w:line="480" w:lineRule="auto"/>
        <w:ind w:right="115" w:firstLine="719"/>
        <w:jc w:val="both"/>
        <w:rPr>
          <w:rFonts w:cs="Palatino Linotype"/>
        </w:rPr>
      </w:pPr>
      <w:r>
        <w:t>A plaintiff cannot normally establish an actionable violation of an anti- discrimination statute merely b</w:t>
      </w:r>
      <w:r>
        <w:t xml:space="preserve">y showing that the challenged employment action </w:t>
      </w:r>
      <w:r>
        <w:rPr>
          <w:spacing w:val="-3"/>
        </w:rPr>
        <w:t xml:space="preserve">was </w:t>
      </w:r>
      <w:r>
        <w:t xml:space="preserve">taken based on a mistaken factual premise. </w:t>
      </w:r>
      <w:r>
        <w:rPr>
          <w:rFonts w:cs="Palatino Linotype"/>
          <w:i/>
          <w:spacing w:val="-5"/>
        </w:rPr>
        <w:t xml:space="preserve">Venter </w:t>
      </w:r>
      <w:r>
        <w:rPr>
          <w:rFonts w:cs="Palatino Linotype"/>
          <w:i/>
          <w:spacing w:val="-6"/>
        </w:rPr>
        <w:t xml:space="preserve">v. </w:t>
      </w:r>
      <w:r>
        <w:rPr>
          <w:rFonts w:cs="Palatino Linotype"/>
          <w:i/>
        </w:rPr>
        <w:t>Potter</w:t>
      </w:r>
      <w:r>
        <w:t xml:space="preserve">, 694 </w:t>
      </w:r>
      <w:r>
        <w:rPr>
          <w:spacing w:val="-8"/>
        </w:rPr>
        <w:t xml:space="preserve">F. </w:t>
      </w:r>
      <w:r>
        <w:t xml:space="preserve">Supp. 2d 412, 423 </w:t>
      </w:r>
      <w:r>
        <w:rPr>
          <w:spacing w:val="-5"/>
        </w:rPr>
        <w:t xml:space="preserve">(W.D. </w:t>
      </w:r>
      <w:r>
        <w:rPr>
          <w:spacing w:val="-3"/>
        </w:rPr>
        <w:t xml:space="preserve">Pa. </w:t>
      </w:r>
      <w:r>
        <w:t xml:space="preserve">2010). Under the present circumstances, </w:t>
      </w:r>
      <w:r>
        <w:rPr>
          <w:spacing w:val="-3"/>
        </w:rPr>
        <w:t xml:space="preserve">however, </w:t>
      </w:r>
      <w:r>
        <w:t xml:space="preserve">the EEOC can pursue remedies for any injuries flowing from </w:t>
      </w:r>
      <w:r>
        <w:t xml:space="preserve">the admitted violations of § 12112(d). </w:t>
      </w:r>
      <w:r>
        <w:rPr>
          <w:rFonts w:cs="Palatino Linotype"/>
          <w:i/>
        </w:rPr>
        <w:t>Garrison</w:t>
      </w:r>
      <w:r>
        <w:t xml:space="preserve">, 287 </w:t>
      </w:r>
      <w:r>
        <w:rPr>
          <w:spacing w:val="-4"/>
        </w:rPr>
        <w:t xml:space="preserve">F.3d </w:t>
      </w:r>
      <w:r>
        <w:t xml:space="preserve">at 963. </w:t>
      </w:r>
      <w:r>
        <w:rPr>
          <w:rFonts w:cs="Palatino Linotype"/>
        </w:rPr>
        <w:t xml:space="preserve">The portions of the examination forms requesting information about the applicants’ </w:t>
      </w:r>
      <w:r>
        <w:t>medications clearly constituted pre-</w:t>
      </w:r>
      <w:r>
        <w:rPr>
          <w:rFonts w:cs="Palatino Linotype"/>
        </w:rPr>
        <w:t xml:space="preserve">offer “medical inquiries” prohibited under the ADA. </w:t>
      </w:r>
      <w:r>
        <w:rPr>
          <w:rFonts w:cs="Palatino Linotype"/>
          <w:i/>
        </w:rPr>
        <w:t xml:space="preserve">Doe </w:t>
      </w:r>
      <w:r>
        <w:rPr>
          <w:rFonts w:cs="Palatino Linotype"/>
          <w:i/>
          <w:spacing w:val="-6"/>
        </w:rPr>
        <w:t xml:space="preserve">v. </w:t>
      </w:r>
      <w:r>
        <w:rPr>
          <w:rFonts w:cs="Palatino Linotype"/>
          <w:i/>
        </w:rPr>
        <w:t xml:space="preserve">U.S. Postal </w:t>
      </w:r>
      <w:r>
        <w:rPr>
          <w:rFonts w:cs="Palatino Linotype"/>
          <w:i/>
          <w:spacing w:val="-3"/>
        </w:rPr>
        <w:t>Serv.</w:t>
      </w:r>
      <w:r>
        <w:rPr>
          <w:spacing w:val="-3"/>
        </w:rPr>
        <w:t xml:space="preserve">, </w:t>
      </w:r>
      <w:r>
        <w:t xml:space="preserve">317 </w:t>
      </w:r>
      <w:r>
        <w:rPr>
          <w:spacing w:val="-5"/>
        </w:rPr>
        <w:t xml:space="preserve">F.3d </w:t>
      </w:r>
      <w:r>
        <w:t xml:space="preserve">339, 343-45 (D.C. </w:t>
      </w:r>
      <w:r>
        <w:rPr>
          <w:spacing w:val="-4"/>
        </w:rPr>
        <w:t xml:space="preserve">Cir. </w:t>
      </w:r>
      <w:r>
        <w:t xml:space="preserve">2003). </w:t>
      </w:r>
      <w:r>
        <w:rPr>
          <w:spacing w:val="-8"/>
        </w:rPr>
        <w:t xml:space="preserve">To </w:t>
      </w:r>
      <w:r>
        <w:t xml:space="preserve">the extent that Linda and </w:t>
      </w:r>
      <w:r>
        <w:rPr>
          <w:rFonts w:cs="Palatino Linotype"/>
        </w:rPr>
        <w:t>Siska failed to disclose medications that could have explained their “positive” test</w:t>
      </w:r>
      <w:r>
        <w:rPr>
          <w:rFonts w:cs="Palatino Linotype"/>
          <w:spacing w:val="49"/>
        </w:rPr>
        <w:t xml:space="preserve"> </w:t>
      </w:r>
      <w:r>
        <w:rPr>
          <w:rFonts w:cs="Palatino Linotype"/>
        </w:rPr>
        <w:t>results,</w:t>
      </w:r>
    </w:p>
    <w:p w:rsidR="002A1594" w:rsidRDefault="00073D1D">
      <w:pPr>
        <w:pStyle w:val="BodyText"/>
        <w:ind w:left="4371" w:right="4388"/>
        <w:jc w:val="center"/>
      </w:pPr>
      <w:r>
        <w:t>57</w:t>
      </w:r>
    </w:p>
    <w:p w:rsidR="002A1594" w:rsidRDefault="002A1594">
      <w:pPr>
        <w:jc w:val="center"/>
        <w:sectPr w:rsidR="002A1594">
          <w:pgSz w:w="12240" w:h="15840"/>
          <w:pgMar w:top="540" w:right="160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3"/>
        <w:rPr>
          <w:rFonts w:ascii="Palatino Linotype" w:eastAsia="Palatino Linotype" w:hAnsi="Palatino Linotype" w:cs="Palatino Linotype"/>
          <w:sz w:val="24"/>
          <w:szCs w:val="24"/>
        </w:rPr>
      </w:pPr>
    </w:p>
    <w:p w:rsidR="002A1594" w:rsidRDefault="00073D1D">
      <w:pPr>
        <w:pStyle w:val="BodyText"/>
        <w:spacing w:line="480" w:lineRule="auto"/>
        <w:ind w:right="102"/>
        <w:jc w:val="both"/>
      </w:pPr>
      <w:r>
        <w:t>they simply provided incomplete answers to the Defendants</w:t>
      </w:r>
      <w:r>
        <w:rPr>
          <w:rFonts w:cs="Palatino Linotype"/>
        </w:rPr>
        <w:t xml:space="preserve">’ </w:t>
      </w:r>
      <w:r>
        <w:rPr>
          <w:rFonts w:cs="Palatino Linotype"/>
          <w:i/>
        </w:rPr>
        <w:t xml:space="preserve">illegal </w:t>
      </w:r>
      <w:r>
        <w:t xml:space="preserve">pre-offer inquiries. The Defendants are not entitled to summary judgment merely because Lengle may have </w:t>
      </w:r>
      <w:r>
        <w:rPr>
          <w:rFonts w:cs="Palatino Linotype"/>
        </w:rPr>
        <w:t xml:space="preserve">“mistakenly” relied on incomplete medical information that never should have been </w:t>
      </w:r>
      <w:r>
        <w:t>solicited in the first place. (ECF No. 130 at 18-22). The ADA was viol</w:t>
      </w:r>
      <w:r>
        <w:t xml:space="preserve">ated as soon as the LCNRC employees seeking employment with the CCC were presented with pre-offer inquiries. </w:t>
      </w:r>
      <w:r>
        <w:rPr>
          <w:rFonts w:cs="Palatino Linotype"/>
          <w:i/>
        </w:rPr>
        <w:t>Green</w:t>
      </w:r>
      <w:r>
        <w:t xml:space="preserve">, 107 </w:t>
      </w:r>
      <w:r>
        <w:rPr>
          <w:spacing w:val="-8"/>
        </w:rPr>
        <w:t xml:space="preserve">F. </w:t>
      </w:r>
      <w:r>
        <w:t>Ap</w:t>
      </w:r>
      <w:r>
        <w:rPr>
          <w:rFonts w:cs="Palatino Linotype"/>
        </w:rPr>
        <w:t xml:space="preserve">p’x </w:t>
      </w:r>
      <w:r>
        <w:t xml:space="preserve">at 280. Even if Lengle mistakenly relied on incomplete medical information in making certain personnel decisions, the EEOC can </w:t>
      </w:r>
      <w:r>
        <w:t xml:space="preserve">seek damages for any injuries that were proximately caused by the acknowledged § 12112(d) violations. </w:t>
      </w:r>
      <w:r>
        <w:rPr>
          <w:rFonts w:cs="Palatino Linotype"/>
          <w:i/>
        </w:rPr>
        <w:t>Griffin</w:t>
      </w:r>
      <w:r>
        <w:t xml:space="preserve">, 160 </w:t>
      </w:r>
      <w:r>
        <w:rPr>
          <w:spacing w:val="-5"/>
        </w:rPr>
        <w:t xml:space="preserve">F.3d </w:t>
      </w:r>
      <w:r>
        <w:t>at</w:t>
      </w:r>
      <w:r>
        <w:rPr>
          <w:spacing w:val="3"/>
        </w:rPr>
        <w:t xml:space="preserve"> </w:t>
      </w:r>
      <w:r>
        <w:t>595.</w:t>
      </w:r>
    </w:p>
    <w:p w:rsidR="002A1594" w:rsidRDefault="002A1594">
      <w:pPr>
        <w:spacing w:before="10"/>
        <w:rPr>
          <w:rFonts w:ascii="Palatino Linotype" w:eastAsia="Palatino Linotype" w:hAnsi="Palatino Linotype" w:cs="Palatino Linotype"/>
          <w:sz w:val="17"/>
          <w:szCs w:val="17"/>
        </w:rPr>
      </w:pPr>
    </w:p>
    <w:p w:rsidR="002A1594" w:rsidRDefault="00073D1D">
      <w:pPr>
        <w:pStyle w:val="Heading3"/>
        <w:numPr>
          <w:ilvl w:val="0"/>
          <w:numId w:val="3"/>
        </w:numPr>
        <w:tabs>
          <w:tab w:val="left" w:pos="533"/>
        </w:tabs>
        <w:ind w:left="532" w:hanging="424"/>
        <w:jc w:val="both"/>
        <w:rPr>
          <w:b w:val="0"/>
          <w:bCs w:val="0"/>
        </w:rPr>
      </w:pPr>
      <w:r>
        <w:t>CONCLUSION</w:t>
      </w:r>
    </w:p>
    <w:p w:rsidR="002A1594" w:rsidRDefault="002A1594">
      <w:pPr>
        <w:spacing w:before="13"/>
        <w:rPr>
          <w:rFonts w:ascii="Palatino Linotype" w:eastAsia="Palatino Linotype" w:hAnsi="Palatino Linotype" w:cs="Palatino Linotype"/>
          <w:b/>
          <w:bCs/>
          <w:sz w:val="21"/>
          <w:szCs w:val="21"/>
        </w:rPr>
      </w:pPr>
    </w:p>
    <w:p w:rsidR="002A1594" w:rsidRDefault="00073D1D">
      <w:pPr>
        <w:pStyle w:val="BodyText"/>
        <w:spacing w:before="0" w:line="482" w:lineRule="auto"/>
        <w:ind w:right="91" w:firstLine="719"/>
      </w:pPr>
      <w:r>
        <w:rPr>
          <w:rFonts w:cs="Palatino Linotype"/>
        </w:rPr>
        <w:t xml:space="preserve">For the foregoing reasons, the Defendants’ motion for summary judgment </w:t>
      </w:r>
      <w:r>
        <w:t>(ECF No.</w:t>
      </w:r>
      <w:r>
        <w:rPr>
          <w:spacing w:val="19"/>
        </w:rPr>
        <w:t xml:space="preserve"> </w:t>
      </w:r>
      <w:r>
        <w:t>92)</w:t>
      </w:r>
      <w:r>
        <w:rPr>
          <w:spacing w:val="19"/>
        </w:rPr>
        <w:t xml:space="preserve"> </w:t>
      </w:r>
      <w:r>
        <w:rPr>
          <w:rFonts w:cs="Palatino Linotype"/>
        </w:rPr>
        <w:t>will</w:t>
      </w:r>
      <w:r>
        <w:rPr>
          <w:rFonts w:cs="Palatino Linotype"/>
          <w:spacing w:val="19"/>
        </w:rPr>
        <w:t xml:space="preserve"> </w:t>
      </w:r>
      <w:r>
        <w:rPr>
          <w:rFonts w:cs="Palatino Linotype"/>
        </w:rPr>
        <w:t>be</w:t>
      </w:r>
      <w:r>
        <w:rPr>
          <w:rFonts w:cs="Palatino Linotype"/>
          <w:spacing w:val="22"/>
        </w:rPr>
        <w:t xml:space="preserve"> </w:t>
      </w:r>
      <w:r>
        <w:rPr>
          <w:rFonts w:cs="Palatino Linotype"/>
        </w:rPr>
        <w:t>denied,</w:t>
      </w:r>
      <w:r>
        <w:rPr>
          <w:rFonts w:cs="Palatino Linotype"/>
          <w:spacing w:val="15"/>
        </w:rPr>
        <w:t xml:space="preserve"> </w:t>
      </w:r>
      <w:r>
        <w:rPr>
          <w:rFonts w:cs="Palatino Linotype"/>
        </w:rPr>
        <w:t>and</w:t>
      </w:r>
      <w:r>
        <w:rPr>
          <w:rFonts w:cs="Palatino Linotype"/>
          <w:spacing w:val="20"/>
        </w:rPr>
        <w:t xml:space="preserve"> </w:t>
      </w:r>
      <w:r>
        <w:rPr>
          <w:rFonts w:cs="Palatino Linotype"/>
        </w:rPr>
        <w:t>the</w:t>
      </w:r>
      <w:r>
        <w:rPr>
          <w:rFonts w:cs="Palatino Linotype"/>
          <w:spacing w:val="22"/>
        </w:rPr>
        <w:t xml:space="preserve"> </w:t>
      </w:r>
      <w:r>
        <w:rPr>
          <w:rFonts w:cs="Palatino Linotype"/>
          <w:spacing w:val="-5"/>
        </w:rPr>
        <w:t>EEOC’s</w:t>
      </w:r>
      <w:r>
        <w:rPr>
          <w:rFonts w:cs="Palatino Linotype"/>
          <w:spacing w:val="20"/>
        </w:rPr>
        <w:t xml:space="preserve"> </w:t>
      </w:r>
      <w:r>
        <w:rPr>
          <w:rFonts w:cs="Palatino Linotype"/>
        </w:rPr>
        <w:t>motion</w:t>
      </w:r>
      <w:r>
        <w:rPr>
          <w:rFonts w:cs="Palatino Linotype"/>
          <w:spacing w:val="16"/>
        </w:rPr>
        <w:t xml:space="preserve"> </w:t>
      </w:r>
      <w:r>
        <w:rPr>
          <w:rFonts w:cs="Palatino Linotype"/>
        </w:rPr>
        <w:t>for</w:t>
      </w:r>
      <w:r>
        <w:rPr>
          <w:rFonts w:cs="Palatino Linotype"/>
          <w:spacing w:val="19"/>
        </w:rPr>
        <w:t xml:space="preserve"> </w:t>
      </w:r>
      <w:r>
        <w:rPr>
          <w:rFonts w:cs="Palatino Linotype"/>
        </w:rPr>
        <w:t>partial</w:t>
      </w:r>
      <w:r>
        <w:rPr>
          <w:rFonts w:cs="Palatino Linotype"/>
          <w:spacing w:val="19"/>
        </w:rPr>
        <w:t xml:space="preserve"> </w:t>
      </w:r>
      <w:r>
        <w:rPr>
          <w:rFonts w:cs="Palatino Linotype"/>
        </w:rPr>
        <w:t>summary</w:t>
      </w:r>
      <w:r>
        <w:rPr>
          <w:rFonts w:cs="Palatino Linotype"/>
          <w:spacing w:val="17"/>
        </w:rPr>
        <w:t xml:space="preserve"> </w:t>
      </w:r>
      <w:r>
        <w:rPr>
          <w:rFonts w:cs="Palatino Linotype"/>
        </w:rPr>
        <w:t>judgment</w:t>
      </w:r>
      <w:r>
        <w:rPr>
          <w:rFonts w:cs="Palatino Linotype"/>
          <w:spacing w:val="24"/>
        </w:rPr>
        <w:t xml:space="preserve"> </w:t>
      </w:r>
      <w:r>
        <w:t>(ECF</w:t>
      </w:r>
      <w:r>
        <w:rPr>
          <w:spacing w:val="20"/>
        </w:rPr>
        <w:t xml:space="preserve"> </w:t>
      </w:r>
      <w:r>
        <w:t>No.</w:t>
      </w:r>
    </w:p>
    <w:p w:rsidR="002A1594" w:rsidRDefault="00073D1D">
      <w:pPr>
        <w:pStyle w:val="BodyText"/>
        <w:spacing w:before="0" w:line="480" w:lineRule="auto"/>
        <w:ind w:right="104"/>
        <w:jc w:val="both"/>
      </w:pPr>
      <w:r>
        <w:t>95) will be granted with respect to Grane and denied with respect to the CCC. Grane will be immediately enjoined from conducting pre-offer medical examinations and inquiries prohibited under § 12112(d). In the n</w:t>
      </w:r>
      <w:r>
        <w:t>ear future, a status conference will be scheduled to facilitate discussions concerning the upcoming proceedings to resolve the disputed factual issues in this</w:t>
      </w:r>
      <w:r>
        <w:rPr>
          <w:spacing w:val="-4"/>
        </w:rPr>
        <w:t xml:space="preserve"> </w:t>
      </w:r>
      <w:r>
        <w:t>case.</w:t>
      </w:r>
    </w:p>
    <w:p w:rsidR="002A1594" w:rsidRDefault="00073D1D">
      <w:pPr>
        <w:pStyle w:val="BodyText"/>
        <w:spacing w:before="1"/>
        <w:ind w:left="828" w:right="64"/>
      </w:pPr>
      <w:r>
        <w:t>An appropriate order</w:t>
      </w:r>
      <w:r>
        <w:rPr>
          <w:spacing w:val="-6"/>
        </w:rPr>
        <w:t xml:space="preserve"> </w:t>
      </w:r>
      <w:r>
        <w:t>follows.</w:t>
      </w: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rPr>
          <w:rFonts w:ascii="Palatino Linotype" w:eastAsia="Palatino Linotype" w:hAnsi="Palatino Linotype" w:cs="Palatino Linotype"/>
          <w:sz w:val="20"/>
          <w:szCs w:val="20"/>
        </w:rPr>
      </w:pPr>
    </w:p>
    <w:p w:rsidR="002A1594" w:rsidRDefault="002A1594">
      <w:pPr>
        <w:spacing w:before="2"/>
        <w:rPr>
          <w:rFonts w:ascii="Palatino Linotype" w:eastAsia="Palatino Linotype" w:hAnsi="Palatino Linotype" w:cs="Palatino Linotype"/>
          <w:sz w:val="20"/>
          <w:szCs w:val="20"/>
        </w:rPr>
      </w:pPr>
    </w:p>
    <w:p w:rsidR="002A1594" w:rsidRDefault="00073D1D">
      <w:pPr>
        <w:pStyle w:val="BodyText"/>
        <w:ind w:left="4371" w:right="4369"/>
        <w:jc w:val="center"/>
      </w:pPr>
      <w:r>
        <w:t>58</w:t>
      </w:r>
    </w:p>
    <w:p w:rsidR="002A1594" w:rsidRDefault="002A1594">
      <w:pPr>
        <w:jc w:val="center"/>
        <w:sectPr w:rsidR="002A1594">
          <w:pgSz w:w="12240" w:h="15840"/>
          <w:pgMar w:top="540" w:right="1620" w:bottom="280" w:left="1620" w:header="306" w:footer="0" w:gutter="0"/>
          <w:cols w:space="720"/>
        </w:sectPr>
      </w:pPr>
    </w:p>
    <w:p w:rsidR="002A1594" w:rsidRDefault="002A1594">
      <w:pPr>
        <w:rPr>
          <w:rFonts w:ascii="Palatino Linotype" w:eastAsia="Palatino Linotype" w:hAnsi="Palatino Linotype" w:cs="Palatino Linotype"/>
          <w:sz w:val="20"/>
          <w:szCs w:val="20"/>
        </w:rPr>
      </w:pPr>
    </w:p>
    <w:p w:rsidR="002A1594" w:rsidRDefault="002A1594">
      <w:pPr>
        <w:spacing w:before="2"/>
        <w:rPr>
          <w:rFonts w:ascii="Palatino Linotype" w:eastAsia="Palatino Linotype" w:hAnsi="Palatino Linotype" w:cs="Palatino Linotype"/>
          <w:sz w:val="20"/>
          <w:szCs w:val="20"/>
        </w:rPr>
      </w:pPr>
    </w:p>
    <w:p w:rsidR="002A1594" w:rsidRDefault="00073D1D">
      <w:pPr>
        <w:spacing w:before="70" w:line="271" w:lineRule="auto"/>
        <w:ind w:left="1803" w:right="1743" w:firstLine="428"/>
        <w:rPr>
          <w:rFonts w:ascii="Times New Roman" w:eastAsia="Times New Roman" w:hAnsi="Times New Roman" w:cs="Times New Roman"/>
          <w:sz w:val="23"/>
          <w:szCs w:val="23"/>
        </w:rPr>
      </w:pPr>
      <w:bookmarkStart w:id="2" w:name="2_-_GRANE_ORDER"/>
      <w:bookmarkEnd w:id="2"/>
      <w:r>
        <w:rPr>
          <w:rFonts w:ascii="Times New Roman"/>
          <w:color w:val="070707"/>
          <w:sz w:val="23"/>
        </w:rPr>
        <w:t xml:space="preserve">IN  THE  UNITED  </w:t>
      </w:r>
      <w:r>
        <w:rPr>
          <w:rFonts w:ascii="Times New Roman"/>
          <w:color w:val="070707"/>
          <w:spacing w:val="-8"/>
          <w:sz w:val="23"/>
        </w:rPr>
        <w:t xml:space="preserve">STATES  </w:t>
      </w:r>
      <w:r>
        <w:rPr>
          <w:rFonts w:ascii="Times New Roman"/>
          <w:color w:val="070707"/>
          <w:sz w:val="23"/>
        </w:rPr>
        <w:t>DISTRICT  COURT FOR  THE WESTERN  DISTRICT OF</w:t>
      </w:r>
      <w:r>
        <w:rPr>
          <w:rFonts w:ascii="Times New Roman"/>
          <w:color w:val="070707"/>
          <w:spacing w:val="13"/>
          <w:sz w:val="23"/>
        </w:rPr>
        <w:t xml:space="preserve"> </w:t>
      </w:r>
      <w:r>
        <w:rPr>
          <w:rFonts w:ascii="Times New Roman"/>
          <w:color w:val="070707"/>
          <w:sz w:val="23"/>
        </w:rPr>
        <w:t>PENNSYLVANIA</w:t>
      </w:r>
    </w:p>
    <w:p w:rsidR="002A1594" w:rsidRDefault="002A1594">
      <w:pPr>
        <w:spacing w:before="4"/>
        <w:rPr>
          <w:rFonts w:ascii="Times New Roman" w:eastAsia="Times New Roman" w:hAnsi="Times New Roman" w:cs="Times New Roman"/>
          <w:sz w:val="20"/>
          <w:szCs w:val="20"/>
        </w:rPr>
      </w:pPr>
    </w:p>
    <w:p w:rsidR="002A1594" w:rsidRDefault="002A1594">
      <w:pPr>
        <w:rPr>
          <w:rFonts w:ascii="Times New Roman" w:eastAsia="Times New Roman" w:hAnsi="Times New Roman" w:cs="Times New Roman"/>
          <w:sz w:val="20"/>
          <w:szCs w:val="20"/>
        </w:rPr>
        <w:sectPr w:rsidR="002A1594">
          <w:headerReference w:type="default" r:id="rId19"/>
          <w:pgSz w:w="12290" w:h="15840"/>
          <w:pgMar w:top="540" w:right="1480" w:bottom="280" w:left="1740" w:header="301" w:footer="0" w:gutter="0"/>
          <w:cols w:space="720"/>
        </w:sectPr>
      </w:pPr>
    </w:p>
    <w:p w:rsidR="002A1594" w:rsidRDefault="00073D1D">
      <w:pPr>
        <w:spacing w:before="70" w:line="271" w:lineRule="auto"/>
        <w:ind w:left="157" w:right="-19" w:firstLine="4"/>
        <w:rPr>
          <w:rFonts w:ascii="Times New Roman" w:eastAsia="Times New Roman" w:hAnsi="Times New Roman" w:cs="Times New Roman"/>
          <w:sz w:val="23"/>
          <w:szCs w:val="23"/>
        </w:rPr>
      </w:pPr>
      <w:r>
        <w:rPr>
          <w:rFonts w:ascii="Times New Roman"/>
          <w:color w:val="070707"/>
          <w:sz w:val="23"/>
        </w:rPr>
        <w:lastRenderedPageBreak/>
        <w:t xml:space="preserve">EQUAL EMPLOYMENT OPPORTUNITY  </w:t>
      </w:r>
      <w:r>
        <w:rPr>
          <w:rFonts w:ascii="Times New Roman"/>
          <w:color w:val="070707"/>
          <w:spacing w:val="54"/>
          <w:sz w:val="23"/>
        </w:rPr>
        <w:t xml:space="preserve"> </w:t>
      </w:r>
      <w:r>
        <w:rPr>
          <w:rFonts w:ascii="Times New Roman"/>
          <w:color w:val="070707"/>
          <w:sz w:val="23"/>
        </w:rPr>
        <w:t>COMMISSION,</w:t>
      </w:r>
    </w:p>
    <w:p w:rsidR="002A1594" w:rsidRDefault="002A1594">
      <w:pPr>
        <w:spacing w:before="2"/>
        <w:rPr>
          <w:rFonts w:ascii="Times New Roman" w:eastAsia="Times New Roman" w:hAnsi="Times New Roman" w:cs="Times New Roman"/>
          <w:sz w:val="25"/>
          <w:szCs w:val="25"/>
        </w:rPr>
      </w:pPr>
    </w:p>
    <w:p w:rsidR="002A1594" w:rsidRDefault="00073D1D">
      <w:pPr>
        <w:ind w:left="2323" w:right="-19"/>
        <w:rPr>
          <w:rFonts w:ascii="Times New Roman" w:eastAsia="Times New Roman" w:hAnsi="Times New Roman" w:cs="Times New Roman"/>
          <w:sz w:val="23"/>
          <w:szCs w:val="23"/>
        </w:rPr>
      </w:pPr>
      <w:r>
        <w:rPr>
          <w:rFonts w:ascii="Times New Roman"/>
          <w:color w:val="070707"/>
          <w:w w:val="110"/>
          <w:sz w:val="23"/>
        </w:rPr>
        <w:t>Plaintiff,</w:t>
      </w:r>
    </w:p>
    <w:p w:rsidR="002A1594" w:rsidRDefault="002A1594">
      <w:pPr>
        <w:spacing w:before="2"/>
        <w:rPr>
          <w:rFonts w:ascii="Times New Roman" w:eastAsia="Times New Roman" w:hAnsi="Times New Roman" w:cs="Times New Roman"/>
          <w:sz w:val="30"/>
          <w:szCs w:val="30"/>
        </w:rPr>
      </w:pPr>
    </w:p>
    <w:p w:rsidR="002A1594" w:rsidRDefault="00073D1D">
      <w:pPr>
        <w:ind w:left="874" w:right="-19"/>
        <w:rPr>
          <w:rFonts w:ascii="Times New Roman" w:eastAsia="Times New Roman" w:hAnsi="Times New Roman" w:cs="Times New Roman"/>
          <w:sz w:val="23"/>
          <w:szCs w:val="23"/>
        </w:rPr>
      </w:pPr>
      <w:r>
        <w:rPr>
          <w:rFonts w:ascii="Times New Roman"/>
          <w:color w:val="070707"/>
          <w:spacing w:val="-6"/>
          <w:w w:val="130"/>
          <w:sz w:val="23"/>
        </w:rPr>
        <w:t>v.</w:t>
      </w:r>
    </w:p>
    <w:p w:rsidR="002A1594" w:rsidRDefault="00073D1D">
      <w:pPr>
        <w:spacing w:before="87"/>
        <w:ind w:left="157"/>
        <w:rPr>
          <w:rFonts w:ascii="Arial" w:eastAsia="Arial" w:hAnsi="Arial" w:cs="Arial"/>
          <w:sz w:val="19"/>
          <w:szCs w:val="19"/>
        </w:rPr>
      </w:pPr>
      <w:r>
        <w:rPr>
          <w:w w:val="125"/>
        </w:rPr>
        <w:br w:type="column"/>
      </w:r>
      <w:r>
        <w:rPr>
          <w:rFonts w:ascii="Arial"/>
          <w:color w:val="070707"/>
          <w:w w:val="125"/>
          <w:sz w:val="19"/>
        </w:rPr>
        <w:lastRenderedPageBreak/>
        <w:t>)</w:t>
      </w:r>
    </w:p>
    <w:p w:rsidR="002A1594" w:rsidRDefault="00073D1D">
      <w:pPr>
        <w:spacing w:before="80"/>
        <w:ind w:left="157"/>
        <w:rPr>
          <w:rFonts w:ascii="Arial" w:eastAsia="Arial" w:hAnsi="Arial" w:cs="Arial"/>
          <w:sz w:val="19"/>
          <w:szCs w:val="19"/>
        </w:rPr>
      </w:pPr>
      <w:r>
        <w:rPr>
          <w:rFonts w:ascii="Arial"/>
          <w:color w:val="070707"/>
          <w:w w:val="125"/>
          <w:sz w:val="19"/>
        </w:rPr>
        <w:t>)</w:t>
      </w:r>
    </w:p>
    <w:p w:rsidR="002A1594" w:rsidRDefault="00073D1D">
      <w:pPr>
        <w:pStyle w:val="Heading2"/>
        <w:tabs>
          <w:tab w:val="left" w:pos="1168"/>
        </w:tabs>
        <w:spacing w:before="62"/>
        <w:ind w:left="161"/>
      </w:pPr>
      <w:r>
        <w:rPr>
          <w:rFonts w:ascii="Arial"/>
          <w:color w:val="070707"/>
          <w:w w:val="110"/>
          <w:position w:val="2"/>
          <w:sz w:val="19"/>
        </w:rPr>
        <w:t>)</w:t>
      </w:r>
      <w:r>
        <w:rPr>
          <w:rFonts w:ascii="Arial"/>
          <w:color w:val="070707"/>
          <w:w w:val="110"/>
          <w:position w:val="2"/>
          <w:sz w:val="19"/>
        </w:rPr>
        <w:tab/>
      </w:r>
      <w:r>
        <w:rPr>
          <w:color w:val="070707"/>
          <w:w w:val="105"/>
        </w:rPr>
        <w:t>CIVIL ACTION NO.</w:t>
      </w:r>
      <w:r>
        <w:rPr>
          <w:color w:val="070707"/>
          <w:spacing w:val="-7"/>
          <w:w w:val="105"/>
        </w:rPr>
        <w:t xml:space="preserve"> 3:10-250</w:t>
      </w:r>
    </w:p>
    <w:p w:rsidR="002A1594" w:rsidRDefault="00073D1D">
      <w:pPr>
        <w:spacing w:before="46"/>
        <w:ind w:left="157"/>
        <w:rPr>
          <w:rFonts w:ascii="Arial" w:eastAsia="Arial" w:hAnsi="Arial" w:cs="Arial"/>
          <w:sz w:val="19"/>
          <w:szCs w:val="19"/>
        </w:rPr>
      </w:pPr>
      <w:r>
        <w:rPr>
          <w:rFonts w:ascii="Arial"/>
          <w:color w:val="070707"/>
          <w:w w:val="125"/>
          <w:sz w:val="19"/>
        </w:rPr>
        <w:t>)</w:t>
      </w:r>
    </w:p>
    <w:p w:rsidR="002A1594" w:rsidRDefault="00073D1D">
      <w:pPr>
        <w:pStyle w:val="Heading2"/>
        <w:tabs>
          <w:tab w:val="left" w:pos="1158"/>
        </w:tabs>
        <w:spacing w:before="67"/>
      </w:pPr>
      <w:r>
        <w:rPr>
          <w:rFonts w:ascii="Arial"/>
          <w:color w:val="070707"/>
          <w:w w:val="105"/>
          <w:position w:val="2"/>
          <w:sz w:val="19"/>
        </w:rPr>
        <w:t>)</w:t>
      </w:r>
      <w:r>
        <w:rPr>
          <w:rFonts w:ascii="Arial"/>
          <w:color w:val="070707"/>
          <w:w w:val="105"/>
          <w:position w:val="2"/>
          <w:sz w:val="19"/>
        </w:rPr>
        <w:tab/>
      </w:r>
      <w:r>
        <w:rPr>
          <w:color w:val="070707"/>
          <w:w w:val="105"/>
        </w:rPr>
        <w:t>JUDGE KIM R.</w:t>
      </w:r>
      <w:r>
        <w:rPr>
          <w:color w:val="070707"/>
          <w:spacing w:val="-7"/>
          <w:w w:val="105"/>
        </w:rPr>
        <w:t xml:space="preserve"> </w:t>
      </w:r>
      <w:r>
        <w:rPr>
          <w:color w:val="070707"/>
          <w:w w:val="105"/>
        </w:rPr>
        <w:t>GIBSON</w:t>
      </w:r>
    </w:p>
    <w:p w:rsidR="002A1594" w:rsidRDefault="00073D1D">
      <w:pPr>
        <w:spacing w:before="51"/>
        <w:ind w:left="157"/>
        <w:rPr>
          <w:rFonts w:ascii="Arial" w:eastAsia="Arial" w:hAnsi="Arial" w:cs="Arial"/>
          <w:sz w:val="19"/>
          <w:szCs w:val="19"/>
        </w:rPr>
      </w:pPr>
      <w:r>
        <w:rPr>
          <w:rFonts w:ascii="Arial"/>
          <w:color w:val="070707"/>
          <w:w w:val="125"/>
          <w:sz w:val="19"/>
        </w:rPr>
        <w:t>)</w:t>
      </w:r>
    </w:p>
    <w:p w:rsidR="002A1594" w:rsidRDefault="00073D1D">
      <w:pPr>
        <w:spacing w:before="85"/>
        <w:ind w:left="157"/>
        <w:rPr>
          <w:rFonts w:ascii="Arial" w:eastAsia="Arial" w:hAnsi="Arial" w:cs="Arial"/>
          <w:sz w:val="19"/>
          <w:szCs w:val="19"/>
        </w:rPr>
      </w:pPr>
      <w:r>
        <w:rPr>
          <w:rFonts w:ascii="Arial"/>
          <w:color w:val="070707"/>
          <w:w w:val="125"/>
          <w:sz w:val="19"/>
        </w:rPr>
        <w:t>)</w:t>
      </w:r>
    </w:p>
    <w:p w:rsidR="002A1594" w:rsidRDefault="002A1594">
      <w:pPr>
        <w:rPr>
          <w:rFonts w:ascii="Arial" w:eastAsia="Arial" w:hAnsi="Arial" w:cs="Arial"/>
          <w:sz w:val="19"/>
          <w:szCs w:val="19"/>
        </w:rPr>
        <w:sectPr w:rsidR="002A1594">
          <w:type w:val="continuous"/>
          <w:pgSz w:w="12290" w:h="15840"/>
          <w:pgMar w:top="540" w:right="1480" w:bottom="280" w:left="1740" w:header="720" w:footer="720" w:gutter="0"/>
          <w:cols w:num="2" w:space="720" w:equalWidth="0">
            <w:col w:w="3510" w:space="905"/>
            <w:col w:w="4655"/>
          </w:cols>
        </w:sectPr>
      </w:pPr>
    </w:p>
    <w:p w:rsidR="002A1594" w:rsidRDefault="00073D1D">
      <w:pPr>
        <w:pStyle w:val="Heading2"/>
        <w:tabs>
          <w:tab w:val="left" w:pos="4567"/>
        </w:tabs>
        <w:spacing w:before="53" w:line="273" w:lineRule="auto"/>
        <w:ind w:left="161" w:right="4423"/>
        <w:jc w:val="both"/>
      </w:pPr>
      <w:r>
        <w:rPr>
          <w:color w:val="070707"/>
        </w:rPr>
        <w:lastRenderedPageBreak/>
        <w:t>GRANE  HEALTHCARE</w:t>
      </w:r>
      <w:r>
        <w:rPr>
          <w:color w:val="070707"/>
          <w:spacing w:val="38"/>
        </w:rPr>
        <w:t xml:space="preserve"> </w:t>
      </w:r>
      <w:r>
        <w:rPr>
          <w:color w:val="070707"/>
        </w:rPr>
        <w:t>CO.</w:t>
      </w:r>
      <w:r>
        <w:rPr>
          <w:color w:val="070707"/>
          <w:spacing w:val="11"/>
        </w:rPr>
        <w:t xml:space="preserve"> </w:t>
      </w:r>
      <w:r>
        <w:rPr>
          <w:color w:val="070707"/>
        </w:rPr>
        <w:t>and</w:t>
      </w:r>
      <w:r>
        <w:rPr>
          <w:color w:val="070707"/>
        </w:rPr>
        <w:tab/>
      </w:r>
      <w:r>
        <w:rPr>
          <w:color w:val="070707"/>
          <w:w w:val="95"/>
        </w:rPr>
        <w:t xml:space="preserve">) </w:t>
      </w:r>
      <w:r>
        <w:rPr>
          <w:color w:val="070707"/>
        </w:rPr>
        <w:t>EBENSBURG CARE CENTER, LLC, d/b/a ) CAMBRIA</w:t>
      </w:r>
      <w:r>
        <w:rPr>
          <w:color w:val="070707"/>
          <w:spacing w:val="23"/>
        </w:rPr>
        <w:t xml:space="preserve"> </w:t>
      </w:r>
      <w:r>
        <w:rPr>
          <w:color w:val="070707"/>
        </w:rPr>
        <w:t>CARE</w:t>
      </w:r>
      <w:r>
        <w:rPr>
          <w:color w:val="070707"/>
          <w:spacing w:val="11"/>
        </w:rPr>
        <w:t xml:space="preserve"> </w:t>
      </w:r>
      <w:r>
        <w:rPr>
          <w:color w:val="070707"/>
        </w:rPr>
        <w:t>CENTER,</w:t>
      </w:r>
      <w:r>
        <w:rPr>
          <w:color w:val="070707"/>
        </w:rPr>
        <w:tab/>
      </w:r>
      <w:r>
        <w:rPr>
          <w:color w:val="070707"/>
          <w:w w:val="90"/>
        </w:rPr>
        <w:t>)</w:t>
      </w:r>
    </w:p>
    <w:p w:rsidR="002A1594" w:rsidRDefault="00073D1D">
      <w:pPr>
        <w:spacing w:before="30"/>
        <w:ind w:left="4547" w:right="4393"/>
        <w:jc w:val="center"/>
        <w:rPr>
          <w:rFonts w:ascii="Arial" w:eastAsia="Arial" w:hAnsi="Arial" w:cs="Arial"/>
          <w:sz w:val="18"/>
          <w:szCs w:val="18"/>
        </w:rPr>
      </w:pPr>
      <w:r>
        <w:rPr>
          <w:rFonts w:ascii="Arial"/>
          <w:color w:val="070707"/>
          <w:w w:val="145"/>
          <w:sz w:val="18"/>
        </w:rPr>
        <w:t>)</w:t>
      </w:r>
    </w:p>
    <w:p w:rsidR="002A1594" w:rsidRDefault="00073D1D">
      <w:pPr>
        <w:pStyle w:val="Heading2"/>
        <w:tabs>
          <w:tab w:val="left" w:pos="4572"/>
        </w:tabs>
        <w:spacing w:before="69"/>
        <w:ind w:left="2319" w:right="1743"/>
        <w:rPr>
          <w:rFonts w:ascii="Arial" w:eastAsia="Arial" w:hAnsi="Arial" w:cs="Arial"/>
          <w:sz w:val="19"/>
          <w:szCs w:val="19"/>
        </w:rPr>
      </w:pPr>
      <w:r>
        <w:rPr>
          <w:color w:val="070707"/>
          <w:w w:val="110"/>
        </w:rPr>
        <w:t>Def</w:t>
      </w:r>
      <w:r>
        <w:rPr>
          <w:color w:val="070707"/>
          <w:spacing w:val="-48"/>
          <w:w w:val="110"/>
        </w:rPr>
        <w:t xml:space="preserve"> </w:t>
      </w:r>
      <w:r>
        <w:rPr>
          <w:color w:val="070707"/>
          <w:w w:val="110"/>
        </w:rPr>
        <w:t>endants.</w:t>
      </w:r>
      <w:r>
        <w:rPr>
          <w:color w:val="070707"/>
          <w:w w:val="110"/>
        </w:rPr>
        <w:tab/>
      </w:r>
      <w:r>
        <w:rPr>
          <w:rFonts w:ascii="Arial"/>
          <w:color w:val="070707"/>
          <w:w w:val="110"/>
          <w:position w:val="2"/>
          <w:sz w:val="19"/>
        </w:rPr>
        <w:t>)</w:t>
      </w:r>
    </w:p>
    <w:p w:rsidR="002A1594" w:rsidRDefault="002A1594">
      <w:pPr>
        <w:spacing w:before="11"/>
        <w:rPr>
          <w:rFonts w:ascii="Arial" w:eastAsia="Arial" w:hAnsi="Arial" w:cs="Arial"/>
          <w:sz w:val="16"/>
          <w:szCs w:val="16"/>
        </w:rPr>
      </w:pPr>
    </w:p>
    <w:p w:rsidR="002A1594" w:rsidRDefault="002A1594">
      <w:pPr>
        <w:rPr>
          <w:rFonts w:ascii="Arial" w:eastAsia="Arial" w:hAnsi="Arial" w:cs="Arial"/>
          <w:sz w:val="16"/>
          <w:szCs w:val="16"/>
        </w:rPr>
        <w:sectPr w:rsidR="002A1594">
          <w:type w:val="continuous"/>
          <w:pgSz w:w="12290" w:h="15840"/>
          <w:pgMar w:top="540" w:right="1480" w:bottom="280" w:left="1740" w:header="720" w:footer="720" w:gutter="0"/>
          <w:cols w:space="720"/>
        </w:sectPr>
      </w:pPr>
    </w:p>
    <w:p w:rsidR="002A1594" w:rsidRDefault="002A1594">
      <w:pPr>
        <w:rPr>
          <w:rFonts w:ascii="Arial" w:eastAsia="Arial" w:hAnsi="Arial" w:cs="Arial"/>
        </w:rPr>
      </w:pPr>
    </w:p>
    <w:p w:rsidR="002A1594" w:rsidRDefault="002A1594">
      <w:pPr>
        <w:rPr>
          <w:rFonts w:ascii="Arial" w:eastAsia="Arial" w:hAnsi="Arial" w:cs="Arial"/>
        </w:rPr>
      </w:pPr>
    </w:p>
    <w:p w:rsidR="002A1594" w:rsidRDefault="00073D1D">
      <w:pPr>
        <w:spacing w:before="171"/>
        <w:ind w:left="884" w:right="-19"/>
        <w:rPr>
          <w:rFonts w:ascii="Times New Roman" w:eastAsia="Times New Roman" w:hAnsi="Times New Roman" w:cs="Times New Roman"/>
          <w:sz w:val="23"/>
          <w:szCs w:val="23"/>
        </w:rPr>
      </w:pPr>
      <w:r>
        <w:rPr>
          <w:rFonts w:ascii="Times New Roman"/>
          <w:color w:val="070707"/>
          <w:sz w:val="23"/>
        </w:rPr>
        <w:t xml:space="preserve">NOW,  </w:t>
      </w:r>
      <w:r>
        <w:rPr>
          <w:rFonts w:ascii="Times New Roman"/>
          <w:color w:val="070707"/>
          <w:spacing w:val="3"/>
          <w:sz w:val="23"/>
        </w:rPr>
        <w:t xml:space="preserve"> </w:t>
      </w:r>
      <w:r>
        <w:rPr>
          <w:rFonts w:ascii="Times New Roman"/>
          <w:color w:val="070707"/>
          <w:sz w:val="23"/>
        </w:rPr>
        <w:t>this</w:t>
      </w:r>
    </w:p>
    <w:p w:rsidR="002A1594" w:rsidRDefault="00073D1D">
      <w:pPr>
        <w:spacing w:before="70"/>
        <w:ind w:left="2109"/>
        <w:rPr>
          <w:rFonts w:ascii="Times New Roman" w:eastAsia="Times New Roman" w:hAnsi="Times New Roman" w:cs="Times New Roman"/>
          <w:sz w:val="23"/>
          <w:szCs w:val="23"/>
        </w:rPr>
      </w:pPr>
      <w:r>
        <w:br w:type="column"/>
      </w:r>
      <w:r>
        <w:rPr>
          <w:rFonts w:ascii="Times New Roman"/>
          <w:color w:val="070707"/>
          <w:sz w:val="23"/>
          <w:u w:val="thick" w:color="000000"/>
        </w:rPr>
        <w:lastRenderedPageBreak/>
        <w:t>ORDER</w:t>
      </w:r>
    </w:p>
    <w:p w:rsidR="002A1594" w:rsidRDefault="00073D1D">
      <w:pPr>
        <w:spacing w:before="129"/>
        <w:ind w:left="231"/>
        <w:rPr>
          <w:rFonts w:ascii="Times New Roman" w:eastAsia="Times New Roman" w:hAnsi="Times New Roman" w:cs="Times New Roman"/>
          <w:sz w:val="24"/>
          <w:szCs w:val="24"/>
        </w:rPr>
      </w:pPr>
      <w:r>
        <w:pict>
          <v:group id="_x0000_s1026" style="position:absolute;left:0;text-align:left;margin-left:200.55pt;margin-top:28.75pt;width:36.15pt;height:12.55pt;z-index:-24232;mso-position-horizontal-relative:page" coordorigin="4011,575" coordsize="723,251">
            <v:shape id="_x0000_s1027" style="position:absolute;left:4011;top:575;width:723;height:251" coordorigin="4011,575" coordsize="723,251" path="m4011,575r722,l4733,826r-722,l4011,575xe" fillcolor="black" stroked="f">
              <v:path arrowok="t"/>
            </v:shape>
            <w10:wrap anchorx="page"/>
          </v:group>
        </w:pict>
      </w:r>
      <w:r>
        <w:rPr>
          <w:rFonts w:ascii="Arial"/>
          <w:i/>
          <w:color w:val="070707"/>
          <w:w w:val="73"/>
          <w:sz w:val="44"/>
        </w:rPr>
        <w:t>&lt;;</w:t>
      </w:r>
      <w:r>
        <w:rPr>
          <w:rFonts w:ascii="Arial"/>
          <w:i/>
          <w:color w:val="070707"/>
          <w:spacing w:val="-63"/>
          <w:w w:val="73"/>
          <w:sz w:val="44"/>
        </w:rPr>
        <w:t>;</w:t>
      </w:r>
      <w:r>
        <w:rPr>
          <w:rFonts w:ascii="Arial"/>
          <w:i/>
          <w:color w:val="070707"/>
          <w:w w:val="70"/>
          <w:sz w:val="44"/>
        </w:rPr>
        <w:t>./-/</w:t>
      </w:r>
      <w:r>
        <w:rPr>
          <w:rFonts w:ascii="Arial"/>
          <w:i/>
          <w:color w:val="070707"/>
          <w:spacing w:val="16"/>
          <w:w w:val="70"/>
          <w:sz w:val="44"/>
        </w:rPr>
        <w:t>,</w:t>
      </w:r>
      <w:r>
        <w:rPr>
          <w:rFonts w:ascii="Times New Roman"/>
          <w:color w:val="070707"/>
          <w:w w:val="104"/>
          <w:sz w:val="24"/>
        </w:rPr>
        <w:t>day</w:t>
      </w:r>
      <w:r>
        <w:rPr>
          <w:rFonts w:ascii="Times New Roman"/>
          <w:color w:val="070707"/>
          <w:sz w:val="24"/>
        </w:rPr>
        <w:t xml:space="preserve"> </w:t>
      </w:r>
      <w:r>
        <w:rPr>
          <w:rFonts w:ascii="Times New Roman"/>
          <w:color w:val="070707"/>
          <w:spacing w:val="17"/>
          <w:sz w:val="24"/>
        </w:rPr>
        <w:t xml:space="preserve"> </w:t>
      </w:r>
      <w:r>
        <w:rPr>
          <w:rFonts w:ascii="Times New Roman"/>
          <w:color w:val="181818"/>
          <w:w w:val="93"/>
          <w:sz w:val="24"/>
        </w:rPr>
        <w:t>of</w:t>
      </w:r>
      <w:r>
        <w:rPr>
          <w:rFonts w:ascii="Times New Roman"/>
          <w:color w:val="181818"/>
          <w:sz w:val="24"/>
        </w:rPr>
        <w:t xml:space="preserve"> </w:t>
      </w:r>
      <w:r>
        <w:rPr>
          <w:rFonts w:ascii="Times New Roman"/>
          <w:color w:val="181818"/>
          <w:spacing w:val="29"/>
          <w:sz w:val="24"/>
        </w:rPr>
        <w:t xml:space="preserve"> </w:t>
      </w:r>
      <w:r>
        <w:rPr>
          <w:rFonts w:ascii="Times New Roman"/>
          <w:color w:val="070707"/>
          <w:w w:val="96"/>
          <w:sz w:val="24"/>
        </w:rPr>
        <w:t>March</w:t>
      </w:r>
      <w:r>
        <w:rPr>
          <w:rFonts w:ascii="Times New Roman"/>
          <w:color w:val="070707"/>
          <w:sz w:val="24"/>
        </w:rPr>
        <w:t xml:space="preserve"> </w:t>
      </w:r>
      <w:r>
        <w:rPr>
          <w:rFonts w:ascii="Times New Roman"/>
          <w:color w:val="070707"/>
          <w:spacing w:val="28"/>
          <w:sz w:val="24"/>
        </w:rPr>
        <w:t xml:space="preserve"> </w:t>
      </w:r>
      <w:r>
        <w:rPr>
          <w:rFonts w:ascii="Times New Roman"/>
          <w:color w:val="070707"/>
          <w:w w:val="94"/>
          <w:sz w:val="24"/>
        </w:rPr>
        <w:t>2</w:t>
      </w:r>
      <w:r>
        <w:rPr>
          <w:rFonts w:ascii="Times New Roman"/>
          <w:color w:val="070707"/>
          <w:spacing w:val="5"/>
          <w:w w:val="94"/>
          <w:sz w:val="24"/>
        </w:rPr>
        <w:t>0</w:t>
      </w:r>
      <w:r>
        <w:rPr>
          <w:rFonts w:ascii="Times New Roman"/>
          <w:color w:val="070707"/>
          <w:spacing w:val="-58"/>
          <w:w w:val="128"/>
          <w:sz w:val="24"/>
        </w:rPr>
        <w:t>1</w:t>
      </w:r>
      <w:r>
        <w:rPr>
          <w:rFonts w:ascii="Times New Roman"/>
          <w:color w:val="070707"/>
          <w:spacing w:val="-16"/>
          <w:w w:val="101"/>
          <w:sz w:val="24"/>
        </w:rPr>
        <w:t>4</w:t>
      </w:r>
      <w:r>
        <w:rPr>
          <w:rFonts w:ascii="Times New Roman"/>
          <w:color w:val="070707"/>
          <w:w w:val="149"/>
          <w:sz w:val="24"/>
        </w:rPr>
        <w:t>,</w:t>
      </w:r>
      <w:r>
        <w:rPr>
          <w:rFonts w:ascii="Times New Roman"/>
          <w:color w:val="070707"/>
          <w:sz w:val="24"/>
        </w:rPr>
        <w:t xml:space="preserve"> </w:t>
      </w:r>
      <w:r>
        <w:rPr>
          <w:rFonts w:ascii="Times New Roman"/>
          <w:color w:val="070707"/>
          <w:spacing w:val="-8"/>
          <w:sz w:val="24"/>
        </w:rPr>
        <w:t xml:space="preserve"> </w:t>
      </w:r>
      <w:r>
        <w:rPr>
          <w:rFonts w:ascii="Times New Roman"/>
          <w:color w:val="070707"/>
          <w:w w:val="107"/>
          <w:sz w:val="24"/>
        </w:rPr>
        <w:t>it</w:t>
      </w:r>
      <w:r>
        <w:rPr>
          <w:rFonts w:ascii="Times New Roman"/>
          <w:color w:val="070707"/>
          <w:sz w:val="24"/>
        </w:rPr>
        <w:t xml:space="preserve"> </w:t>
      </w:r>
      <w:r>
        <w:rPr>
          <w:rFonts w:ascii="Times New Roman"/>
          <w:color w:val="070707"/>
          <w:spacing w:val="1"/>
          <w:sz w:val="24"/>
        </w:rPr>
        <w:t xml:space="preserve"> </w:t>
      </w:r>
      <w:r>
        <w:rPr>
          <w:rFonts w:ascii="Times New Roman"/>
          <w:color w:val="070707"/>
          <w:w w:val="107"/>
          <w:sz w:val="24"/>
        </w:rPr>
        <w:t>is</w:t>
      </w:r>
      <w:r>
        <w:rPr>
          <w:rFonts w:ascii="Times New Roman"/>
          <w:color w:val="070707"/>
          <w:sz w:val="24"/>
        </w:rPr>
        <w:t xml:space="preserve"> </w:t>
      </w:r>
      <w:r>
        <w:rPr>
          <w:rFonts w:ascii="Times New Roman"/>
          <w:color w:val="070707"/>
          <w:spacing w:val="-4"/>
          <w:sz w:val="24"/>
        </w:rPr>
        <w:t xml:space="preserve"> </w:t>
      </w:r>
      <w:r>
        <w:rPr>
          <w:rFonts w:ascii="Times New Roman"/>
          <w:color w:val="070707"/>
          <w:w w:val="93"/>
          <w:sz w:val="24"/>
        </w:rPr>
        <w:t>HEREBY</w:t>
      </w:r>
      <w:r>
        <w:rPr>
          <w:rFonts w:ascii="Times New Roman"/>
          <w:color w:val="070707"/>
          <w:sz w:val="24"/>
        </w:rPr>
        <w:t xml:space="preserve"> </w:t>
      </w:r>
      <w:r>
        <w:rPr>
          <w:rFonts w:ascii="Times New Roman"/>
          <w:color w:val="070707"/>
          <w:spacing w:val="28"/>
          <w:sz w:val="24"/>
        </w:rPr>
        <w:t xml:space="preserve"> </w:t>
      </w:r>
      <w:r>
        <w:rPr>
          <w:rFonts w:ascii="Times New Roman"/>
          <w:color w:val="070707"/>
          <w:w w:val="97"/>
          <w:sz w:val="24"/>
        </w:rPr>
        <w:t>ORDERED</w:t>
      </w:r>
      <w:r>
        <w:rPr>
          <w:rFonts w:ascii="Times New Roman"/>
          <w:color w:val="070707"/>
          <w:sz w:val="24"/>
        </w:rPr>
        <w:t xml:space="preserve"> </w:t>
      </w:r>
      <w:r>
        <w:rPr>
          <w:rFonts w:ascii="Times New Roman"/>
          <w:color w:val="070707"/>
          <w:spacing w:val="27"/>
          <w:sz w:val="24"/>
        </w:rPr>
        <w:t xml:space="preserve"> </w:t>
      </w:r>
      <w:r>
        <w:rPr>
          <w:rFonts w:ascii="Times New Roman"/>
          <w:color w:val="070707"/>
          <w:w w:val="105"/>
          <w:sz w:val="24"/>
        </w:rPr>
        <w:t>that</w:t>
      </w:r>
      <w:r>
        <w:rPr>
          <w:rFonts w:ascii="Times New Roman"/>
          <w:color w:val="070707"/>
          <w:sz w:val="24"/>
        </w:rPr>
        <w:t xml:space="preserve"> </w:t>
      </w:r>
      <w:r>
        <w:rPr>
          <w:rFonts w:ascii="Times New Roman"/>
          <w:color w:val="070707"/>
          <w:spacing w:val="14"/>
          <w:sz w:val="24"/>
        </w:rPr>
        <w:t xml:space="preserve"> </w:t>
      </w:r>
      <w:r>
        <w:rPr>
          <w:rFonts w:ascii="Times New Roman"/>
          <w:color w:val="070707"/>
          <w:w w:val="97"/>
          <w:sz w:val="24"/>
        </w:rPr>
        <w:t>the</w:t>
      </w:r>
    </w:p>
    <w:p w:rsidR="002A1594" w:rsidRDefault="002A1594">
      <w:pPr>
        <w:rPr>
          <w:rFonts w:ascii="Times New Roman" w:eastAsia="Times New Roman" w:hAnsi="Times New Roman" w:cs="Times New Roman"/>
          <w:sz w:val="24"/>
          <w:szCs w:val="24"/>
        </w:rPr>
        <w:sectPr w:rsidR="002A1594">
          <w:type w:val="continuous"/>
          <w:pgSz w:w="12290" w:h="15840"/>
          <w:pgMar w:top="540" w:right="1480" w:bottom="280" w:left="1740" w:header="720" w:footer="720" w:gutter="0"/>
          <w:cols w:num="2" w:space="720" w:equalWidth="0">
            <w:col w:w="2000" w:space="40"/>
            <w:col w:w="7030"/>
          </w:cols>
        </w:sectPr>
      </w:pPr>
    </w:p>
    <w:p w:rsidR="002A1594" w:rsidRDefault="00073D1D">
      <w:pPr>
        <w:spacing w:before="48"/>
        <w:ind w:left="147"/>
        <w:jc w:val="both"/>
        <w:rPr>
          <w:rFonts w:ascii="Times New Roman" w:eastAsia="Times New Roman" w:hAnsi="Times New Roman" w:cs="Times New Roman"/>
          <w:sz w:val="23"/>
          <w:szCs w:val="23"/>
        </w:rPr>
      </w:pPr>
      <w:r>
        <w:rPr>
          <w:rFonts w:ascii="Times New Roman"/>
          <w:color w:val="070707"/>
          <w:w w:val="105"/>
          <w:sz w:val="23"/>
        </w:rPr>
        <w:lastRenderedPageBreak/>
        <w:t xml:space="preserve">Defendants' motion for summary judgment </w:t>
      </w:r>
      <w:r>
        <w:rPr>
          <w:rFonts w:ascii="Times New Roman"/>
          <w:color w:val="181818"/>
          <w:w w:val="105"/>
          <w:sz w:val="23"/>
        </w:rPr>
        <w:t xml:space="preserve">(ECF </w:t>
      </w:r>
      <w:r>
        <w:rPr>
          <w:rFonts w:ascii="Times New Roman"/>
          <w:color w:val="070707"/>
          <w:spacing w:val="6"/>
          <w:w w:val="105"/>
          <w:sz w:val="23"/>
        </w:rPr>
        <w:t>No</w:t>
      </w:r>
      <w:r>
        <w:rPr>
          <w:rFonts w:ascii="Times New Roman"/>
          <w:color w:val="2F2F2F"/>
          <w:spacing w:val="6"/>
          <w:w w:val="105"/>
          <w:sz w:val="23"/>
        </w:rPr>
        <w:t xml:space="preserve">. </w:t>
      </w:r>
      <w:r>
        <w:rPr>
          <w:rFonts w:ascii="Times New Roman"/>
          <w:color w:val="070707"/>
          <w:w w:val="105"/>
          <w:sz w:val="23"/>
        </w:rPr>
        <w:t xml:space="preserve">92) </w:t>
      </w:r>
      <w:r>
        <w:rPr>
          <w:rFonts w:ascii="Times New Roman"/>
          <w:color w:val="181818"/>
          <w:w w:val="105"/>
          <w:sz w:val="23"/>
        </w:rPr>
        <w:t>is</w:t>
      </w:r>
      <w:r>
        <w:rPr>
          <w:rFonts w:ascii="Times New Roman"/>
          <w:color w:val="181818"/>
          <w:spacing w:val="-35"/>
          <w:w w:val="105"/>
          <w:sz w:val="23"/>
        </w:rPr>
        <w:t xml:space="preserve"> </w:t>
      </w:r>
      <w:r>
        <w:rPr>
          <w:rFonts w:ascii="Times New Roman"/>
          <w:color w:val="070707"/>
          <w:spacing w:val="3"/>
          <w:w w:val="105"/>
          <w:sz w:val="23"/>
        </w:rPr>
        <w:t>DENIED</w:t>
      </w:r>
      <w:r>
        <w:rPr>
          <w:rFonts w:ascii="Times New Roman"/>
          <w:color w:val="2F2F2F"/>
          <w:spacing w:val="3"/>
          <w:w w:val="105"/>
          <w:sz w:val="23"/>
        </w:rPr>
        <w:t>.</w:t>
      </w:r>
    </w:p>
    <w:p w:rsidR="002A1594" w:rsidRDefault="002A1594">
      <w:pPr>
        <w:spacing w:before="8"/>
        <w:rPr>
          <w:rFonts w:ascii="Times New Roman" w:eastAsia="Times New Roman" w:hAnsi="Times New Roman" w:cs="Times New Roman"/>
          <w:sz w:val="27"/>
          <w:szCs w:val="27"/>
        </w:rPr>
      </w:pPr>
    </w:p>
    <w:p w:rsidR="002A1594" w:rsidRDefault="00073D1D">
      <w:pPr>
        <w:spacing w:line="312" w:lineRule="auto"/>
        <w:ind w:left="142" w:right="120" w:firstLine="736"/>
        <w:jc w:val="both"/>
        <w:rPr>
          <w:rFonts w:ascii="Times New Roman" w:eastAsia="Times New Roman" w:hAnsi="Times New Roman" w:cs="Times New Roman"/>
          <w:sz w:val="23"/>
          <w:szCs w:val="23"/>
        </w:rPr>
      </w:pPr>
      <w:r>
        <w:rPr>
          <w:rFonts w:ascii="Arial"/>
          <w:color w:val="070707"/>
          <w:w w:val="115"/>
          <w:sz w:val="21"/>
        </w:rPr>
        <w:t xml:space="preserve">It </w:t>
      </w:r>
      <w:r>
        <w:rPr>
          <w:rFonts w:ascii="Times New Roman"/>
          <w:color w:val="070707"/>
          <w:w w:val="105"/>
          <w:sz w:val="23"/>
        </w:rPr>
        <w:t xml:space="preserve">is FURTHER ORDERED that the Plaintiff's motion for partial summary judgment (ECF </w:t>
      </w:r>
      <w:r>
        <w:rPr>
          <w:rFonts w:ascii="Times New Roman"/>
          <w:color w:val="070707"/>
          <w:spacing w:val="6"/>
          <w:w w:val="105"/>
          <w:sz w:val="23"/>
        </w:rPr>
        <w:t>No</w:t>
      </w:r>
      <w:r>
        <w:rPr>
          <w:rFonts w:ascii="Times New Roman"/>
          <w:color w:val="2F2F2F"/>
          <w:spacing w:val="6"/>
          <w:w w:val="105"/>
          <w:sz w:val="23"/>
        </w:rPr>
        <w:t xml:space="preserve">. </w:t>
      </w:r>
      <w:r>
        <w:rPr>
          <w:rFonts w:ascii="Times New Roman"/>
          <w:color w:val="070707"/>
          <w:w w:val="105"/>
          <w:sz w:val="23"/>
        </w:rPr>
        <w:t xml:space="preserve">95) is GRANTED with respect to Defendant Grane Healthcare Company ("Grane") </w:t>
      </w:r>
      <w:r>
        <w:rPr>
          <w:rFonts w:ascii="Times New Roman"/>
          <w:color w:val="181818"/>
          <w:w w:val="105"/>
          <w:sz w:val="23"/>
        </w:rPr>
        <w:t xml:space="preserve">and </w:t>
      </w:r>
      <w:r>
        <w:rPr>
          <w:rFonts w:ascii="Times New Roman"/>
          <w:color w:val="070707"/>
          <w:w w:val="105"/>
          <w:sz w:val="23"/>
        </w:rPr>
        <w:t>DENIED with respect to Defendant  Ebensburg  Care Center,  LLC d/b/a Cambria Care</w:t>
      </w:r>
      <w:r>
        <w:rPr>
          <w:rFonts w:ascii="Times New Roman"/>
          <w:color w:val="070707"/>
          <w:spacing w:val="-22"/>
          <w:w w:val="105"/>
          <w:sz w:val="23"/>
        </w:rPr>
        <w:t xml:space="preserve"> </w:t>
      </w:r>
      <w:r>
        <w:rPr>
          <w:rFonts w:ascii="Times New Roman"/>
          <w:color w:val="070707"/>
          <w:w w:val="105"/>
          <w:sz w:val="23"/>
        </w:rPr>
        <w:t>Center.</w:t>
      </w:r>
    </w:p>
    <w:p w:rsidR="002A1594" w:rsidRDefault="002A1594">
      <w:pPr>
        <w:rPr>
          <w:rFonts w:ascii="Times New Roman" w:eastAsia="Times New Roman" w:hAnsi="Times New Roman" w:cs="Times New Roman"/>
          <w:sz w:val="21"/>
          <w:szCs w:val="21"/>
        </w:rPr>
      </w:pPr>
    </w:p>
    <w:p w:rsidR="002A1594" w:rsidRDefault="00073D1D">
      <w:pPr>
        <w:ind w:left="879"/>
        <w:rPr>
          <w:rFonts w:ascii="Times New Roman" w:eastAsia="Times New Roman" w:hAnsi="Times New Roman" w:cs="Times New Roman"/>
          <w:sz w:val="23"/>
          <w:szCs w:val="23"/>
        </w:rPr>
      </w:pPr>
      <w:r>
        <w:rPr>
          <w:rFonts w:ascii="Times New Roman"/>
          <w:color w:val="070707"/>
          <w:w w:val="105"/>
          <w:sz w:val="23"/>
        </w:rPr>
        <w:t xml:space="preserve">Grane  has  repeatedly  violated  the Americans  with  Disabilities  Act  of  </w:t>
      </w:r>
      <w:r>
        <w:rPr>
          <w:rFonts w:ascii="Times New Roman"/>
          <w:color w:val="070707"/>
          <w:spacing w:val="-9"/>
          <w:w w:val="105"/>
          <w:sz w:val="23"/>
        </w:rPr>
        <w:t>1990</w:t>
      </w:r>
      <w:r>
        <w:rPr>
          <w:rFonts w:ascii="Times New Roman"/>
          <w:color w:val="070707"/>
          <w:spacing w:val="-10"/>
          <w:w w:val="105"/>
          <w:sz w:val="23"/>
        </w:rPr>
        <w:t xml:space="preserve"> </w:t>
      </w:r>
      <w:r>
        <w:rPr>
          <w:rFonts w:ascii="Times New Roman"/>
          <w:color w:val="070707"/>
          <w:w w:val="105"/>
          <w:sz w:val="23"/>
        </w:rPr>
        <w:t>[42</w:t>
      </w:r>
    </w:p>
    <w:p w:rsidR="002A1594" w:rsidRDefault="00073D1D">
      <w:pPr>
        <w:spacing w:before="77" w:line="307" w:lineRule="auto"/>
        <w:ind w:left="157" w:right="111"/>
        <w:jc w:val="both"/>
        <w:rPr>
          <w:rFonts w:ascii="Times New Roman" w:eastAsia="Times New Roman" w:hAnsi="Times New Roman" w:cs="Times New Roman"/>
          <w:sz w:val="23"/>
          <w:szCs w:val="23"/>
        </w:rPr>
      </w:pPr>
      <w:r>
        <w:rPr>
          <w:rFonts w:ascii="Times New Roman" w:eastAsia="Times New Roman" w:hAnsi="Times New Roman" w:cs="Times New Roman"/>
          <w:color w:val="070707"/>
          <w:sz w:val="23"/>
          <w:szCs w:val="23"/>
        </w:rPr>
        <w:t xml:space="preserve">U.S.C. </w:t>
      </w:r>
      <w:r>
        <w:rPr>
          <w:rFonts w:ascii="Times New Roman" w:eastAsia="Times New Roman" w:hAnsi="Times New Roman" w:cs="Times New Roman"/>
          <w:color w:val="070707"/>
          <w:sz w:val="24"/>
          <w:szCs w:val="24"/>
        </w:rPr>
        <w:t xml:space="preserve">§ </w:t>
      </w:r>
      <w:r>
        <w:rPr>
          <w:rFonts w:ascii="Times New Roman" w:eastAsia="Times New Roman" w:hAnsi="Times New Roman" w:cs="Times New Roman"/>
          <w:color w:val="070707"/>
          <w:spacing w:val="-8"/>
          <w:sz w:val="23"/>
          <w:szCs w:val="23"/>
        </w:rPr>
        <w:t xml:space="preserve">12101 </w:t>
      </w:r>
      <w:r>
        <w:rPr>
          <w:rFonts w:ascii="Times New Roman" w:eastAsia="Times New Roman" w:hAnsi="Times New Roman" w:cs="Times New Roman"/>
          <w:i/>
          <w:color w:val="181818"/>
          <w:sz w:val="24"/>
          <w:szCs w:val="24"/>
        </w:rPr>
        <w:t xml:space="preserve">et </w:t>
      </w:r>
      <w:r>
        <w:rPr>
          <w:rFonts w:ascii="Times New Roman" w:eastAsia="Times New Roman" w:hAnsi="Times New Roman" w:cs="Times New Roman"/>
          <w:i/>
          <w:color w:val="181818"/>
          <w:spacing w:val="3"/>
          <w:sz w:val="24"/>
          <w:szCs w:val="24"/>
        </w:rPr>
        <w:t xml:space="preserve">seq.] </w:t>
      </w:r>
      <w:r>
        <w:rPr>
          <w:rFonts w:ascii="Times New Roman" w:eastAsia="Times New Roman" w:hAnsi="Times New Roman" w:cs="Times New Roman"/>
          <w:color w:val="070707"/>
          <w:sz w:val="23"/>
          <w:szCs w:val="23"/>
        </w:rPr>
        <w:t xml:space="preserve">by subjecting more than </w:t>
      </w:r>
      <w:r>
        <w:rPr>
          <w:rFonts w:ascii="Times New Roman" w:eastAsia="Times New Roman" w:hAnsi="Times New Roman" w:cs="Times New Roman"/>
          <w:color w:val="070707"/>
          <w:spacing w:val="-8"/>
          <w:sz w:val="23"/>
          <w:szCs w:val="23"/>
        </w:rPr>
        <w:t xml:space="preserve">300 </w:t>
      </w:r>
      <w:r>
        <w:rPr>
          <w:rFonts w:ascii="Times New Roman" w:eastAsia="Times New Roman" w:hAnsi="Times New Roman" w:cs="Times New Roman"/>
          <w:color w:val="181818"/>
          <w:sz w:val="23"/>
          <w:szCs w:val="23"/>
        </w:rPr>
        <w:t xml:space="preserve">applicants for </w:t>
      </w:r>
      <w:r>
        <w:rPr>
          <w:rFonts w:ascii="Times New Roman" w:eastAsia="Times New Roman" w:hAnsi="Times New Roman" w:cs="Times New Roman"/>
          <w:color w:val="070707"/>
          <w:sz w:val="23"/>
          <w:szCs w:val="23"/>
        </w:rPr>
        <w:t xml:space="preserve">employment with the Cambria </w:t>
      </w:r>
      <w:r>
        <w:rPr>
          <w:rFonts w:ascii="Times New Roman" w:eastAsia="Times New Roman" w:hAnsi="Times New Roman" w:cs="Times New Roman"/>
          <w:color w:val="181818"/>
          <w:sz w:val="23"/>
          <w:szCs w:val="23"/>
        </w:rPr>
        <w:t xml:space="preserve">Care  </w:t>
      </w:r>
      <w:r>
        <w:rPr>
          <w:rFonts w:ascii="Times New Roman" w:eastAsia="Times New Roman" w:hAnsi="Times New Roman" w:cs="Times New Roman"/>
          <w:color w:val="070707"/>
          <w:sz w:val="23"/>
          <w:szCs w:val="23"/>
        </w:rPr>
        <w:t xml:space="preserve">Center  to  pre-offer  medical  </w:t>
      </w:r>
      <w:r>
        <w:rPr>
          <w:rFonts w:ascii="Times New Roman" w:eastAsia="Times New Roman" w:hAnsi="Times New Roman" w:cs="Times New Roman"/>
          <w:color w:val="181818"/>
          <w:sz w:val="23"/>
          <w:szCs w:val="23"/>
        </w:rPr>
        <w:t xml:space="preserve">examinations  </w:t>
      </w:r>
      <w:r>
        <w:rPr>
          <w:rFonts w:ascii="Times New Roman" w:eastAsia="Times New Roman" w:hAnsi="Times New Roman" w:cs="Times New Roman"/>
          <w:color w:val="070707"/>
          <w:sz w:val="23"/>
          <w:szCs w:val="23"/>
        </w:rPr>
        <w:t xml:space="preserve">and  inquiries  prohibited  by </w:t>
      </w:r>
      <w:r>
        <w:rPr>
          <w:rFonts w:ascii="Times New Roman" w:eastAsia="Times New Roman" w:hAnsi="Times New Roman" w:cs="Times New Roman"/>
          <w:color w:val="181818"/>
          <w:sz w:val="23"/>
          <w:szCs w:val="23"/>
        </w:rPr>
        <w:t xml:space="preserve">federal </w:t>
      </w:r>
      <w:r>
        <w:rPr>
          <w:rFonts w:ascii="Times New Roman" w:eastAsia="Times New Roman" w:hAnsi="Times New Roman" w:cs="Times New Roman"/>
          <w:color w:val="070707"/>
          <w:sz w:val="23"/>
          <w:szCs w:val="23"/>
        </w:rPr>
        <w:t xml:space="preserve">law. </w:t>
      </w:r>
      <w:r>
        <w:rPr>
          <w:rFonts w:ascii="Times New Roman" w:eastAsia="Times New Roman" w:hAnsi="Times New Roman" w:cs="Times New Roman"/>
          <w:color w:val="181818"/>
          <w:sz w:val="23"/>
          <w:szCs w:val="23"/>
        </w:rPr>
        <w:t xml:space="preserve">Pursuant </w:t>
      </w:r>
      <w:r>
        <w:rPr>
          <w:rFonts w:ascii="Times New Roman" w:eastAsia="Times New Roman" w:hAnsi="Times New Roman" w:cs="Times New Roman"/>
          <w:color w:val="070707"/>
          <w:sz w:val="23"/>
          <w:szCs w:val="23"/>
        </w:rPr>
        <w:t xml:space="preserve">to the </w:t>
      </w:r>
      <w:r>
        <w:rPr>
          <w:rFonts w:ascii="Times New Roman" w:eastAsia="Times New Roman" w:hAnsi="Times New Roman" w:cs="Times New Roman"/>
          <w:color w:val="181818"/>
          <w:sz w:val="23"/>
          <w:szCs w:val="23"/>
        </w:rPr>
        <w:t xml:space="preserve">authority  vested  </w:t>
      </w:r>
      <w:r>
        <w:rPr>
          <w:rFonts w:ascii="Times New Roman" w:eastAsia="Times New Roman" w:hAnsi="Times New Roman" w:cs="Times New Roman"/>
          <w:color w:val="070707"/>
          <w:sz w:val="23"/>
          <w:szCs w:val="23"/>
        </w:rPr>
        <w:t xml:space="preserve">in  this  Court  by  42  U.S.C.  </w:t>
      </w:r>
      <w:r>
        <w:rPr>
          <w:rFonts w:ascii="Times New Roman" w:eastAsia="Times New Roman" w:hAnsi="Times New Roman" w:cs="Times New Roman"/>
          <w:color w:val="070707"/>
          <w:spacing w:val="-14"/>
          <w:sz w:val="24"/>
          <w:szCs w:val="24"/>
        </w:rPr>
        <w:t xml:space="preserve">§§ </w:t>
      </w:r>
      <w:r>
        <w:rPr>
          <w:rFonts w:ascii="Times New Roman" w:eastAsia="Times New Roman" w:hAnsi="Times New Roman" w:cs="Times New Roman"/>
          <w:color w:val="070707"/>
          <w:sz w:val="23"/>
          <w:szCs w:val="23"/>
        </w:rPr>
        <w:t xml:space="preserve">2000e-5(g)(l) </w:t>
      </w:r>
      <w:r>
        <w:rPr>
          <w:rFonts w:ascii="Times New Roman" w:eastAsia="Times New Roman" w:hAnsi="Times New Roman" w:cs="Times New Roman"/>
          <w:color w:val="181818"/>
          <w:sz w:val="23"/>
          <w:szCs w:val="23"/>
        </w:rPr>
        <w:t xml:space="preserve">and </w:t>
      </w:r>
      <w:r>
        <w:rPr>
          <w:rFonts w:ascii="Times New Roman" w:eastAsia="Times New Roman" w:hAnsi="Times New Roman" w:cs="Times New Roman"/>
          <w:color w:val="070707"/>
          <w:spacing w:val="-12"/>
          <w:sz w:val="23"/>
          <w:szCs w:val="23"/>
        </w:rPr>
        <w:t xml:space="preserve">12117(a), </w:t>
      </w:r>
      <w:r>
        <w:rPr>
          <w:rFonts w:ascii="Times New Roman" w:eastAsia="Times New Roman" w:hAnsi="Times New Roman" w:cs="Times New Roman"/>
          <w:color w:val="070707"/>
          <w:sz w:val="23"/>
          <w:szCs w:val="23"/>
        </w:rPr>
        <w:t>Grane is PERMANENTLY ENJOINED fro</w:t>
      </w:r>
      <w:r>
        <w:rPr>
          <w:rFonts w:ascii="Times New Roman" w:eastAsia="Times New Roman" w:hAnsi="Times New Roman" w:cs="Times New Roman"/>
          <w:color w:val="070707"/>
          <w:sz w:val="23"/>
          <w:szCs w:val="23"/>
        </w:rPr>
        <w:t xml:space="preserve">m conducting pre-offer medical examinations </w:t>
      </w:r>
      <w:r>
        <w:rPr>
          <w:rFonts w:ascii="Times New Roman" w:eastAsia="Times New Roman" w:hAnsi="Times New Roman" w:cs="Times New Roman"/>
          <w:color w:val="181818"/>
          <w:sz w:val="23"/>
          <w:szCs w:val="23"/>
        </w:rPr>
        <w:t xml:space="preserve">and </w:t>
      </w:r>
      <w:r>
        <w:rPr>
          <w:rFonts w:ascii="Times New Roman" w:eastAsia="Times New Roman" w:hAnsi="Times New Roman" w:cs="Times New Roman"/>
          <w:color w:val="070707"/>
          <w:sz w:val="23"/>
          <w:szCs w:val="23"/>
        </w:rPr>
        <w:t xml:space="preserve">inquiries proscribed by 42 U.S.C. </w:t>
      </w:r>
      <w:r>
        <w:rPr>
          <w:rFonts w:ascii="Times New Roman" w:eastAsia="Times New Roman" w:hAnsi="Times New Roman" w:cs="Times New Roman"/>
          <w:color w:val="070707"/>
          <w:sz w:val="24"/>
          <w:szCs w:val="24"/>
        </w:rPr>
        <w:t xml:space="preserve">§ </w:t>
      </w:r>
      <w:r>
        <w:rPr>
          <w:rFonts w:ascii="Times New Roman" w:eastAsia="Times New Roman" w:hAnsi="Times New Roman" w:cs="Times New Roman"/>
          <w:color w:val="070707"/>
          <w:spacing w:val="-3"/>
          <w:sz w:val="23"/>
          <w:szCs w:val="23"/>
        </w:rPr>
        <w:t xml:space="preserve">12112(d)(2)(A).  </w:t>
      </w:r>
      <w:r>
        <w:rPr>
          <w:rFonts w:ascii="Times New Roman" w:eastAsia="Times New Roman" w:hAnsi="Times New Roman" w:cs="Times New Roman"/>
          <w:color w:val="070707"/>
          <w:sz w:val="23"/>
          <w:szCs w:val="23"/>
        </w:rPr>
        <w:t xml:space="preserve">Grane  shall  not </w:t>
      </w:r>
      <w:r>
        <w:rPr>
          <w:rFonts w:ascii="Times New Roman" w:eastAsia="Times New Roman" w:hAnsi="Times New Roman" w:cs="Times New Roman"/>
          <w:color w:val="181818"/>
          <w:sz w:val="23"/>
          <w:szCs w:val="23"/>
        </w:rPr>
        <w:t xml:space="preserve">conduct </w:t>
      </w:r>
      <w:r>
        <w:rPr>
          <w:rFonts w:ascii="Times New Roman" w:eastAsia="Times New Roman" w:hAnsi="Times New Roman" w:cs="Times New Roman"/>
          <w:color w:val="070707"/>
          <w:sz w:val="23"/>
          <w:szCs w:val="23"/>
        </w:rPr>
        <w:t xml:space="preserve">medical </w:t>
      </w:r>
      <w:r>
        <w:rPr>
          <w:rFonts w:ascii="Times New Roman" w:eastAsia="Times New Roman" w:hAnsi="Times New Roman" w:cs="Times New Roman"/>
          <w:color w:val="181818"/>
          <w:sz w:val="23"/>
          <w:szCs w:val="23"/>
        </w:rPr>
        <w:t xml:space="preserve">examinations </w:t>
      </w:r>
      <w:r>
        <w:rPr>
          <w:rFonts w:ascii="Times New Roman" w:eastAsia="Times New Roman" w:hAnsi="Times New Roman" w:cs="Times New Roman"/>
          <w:color w:val="070707"/>
          <w:sz w:val="23"/>
          <w:szCs w:val="23"/>
        </w:rPr>
        <w:t xml:space="preserve">or </w:t>
      </w:r>
      <w:r>
        <w:rPr>
          <w:rFonts w:ascii="Times New Roman" w:eastAsia="Times New Roman" w:hAnsi="Times New Roman" w:cs="Times New Roman"/>
          <w:color w:val="181818"/>
          <w:sz w:val="23"/>
          <w:szCs w:val="23"/>
        </w:rPr>
        <w:t xml:space="preserve">inquiries </w:t>
      </w:r>
      <w:r>
        <w:rPr>
          <w:rFonts w:ascii="Times New Roman" w:eastAsia="Times New Roman" w:hAnsi="Times New Roman" w:cs="Times New Roman"/>
          <w:color w:val="070707"/>
          <w:sz w:val="23"/>
          <w:szCs w:val="23"/>
        </w:rPr>
        <w:t xml:space="preserve">of job </w:t>
      </w:r>
      <w:r>
        <w:rPr>
          <w:rFonts w:ascii="Times New Roman" w:eastAsia="Times New Roman" w:hAnsi="Times New Roman" w:cs="Times New Roman"/>
          <w:color w:val="181818"/>
          <w:sz w:val="23"/>
          <w:szCs w:val="23"/>
        </w:rPr>
        <w:t xml:space="preserve">applicants </w:t>
      </w:r>
      <w:r>
        <w:rPr>
          <w:rFonts w:ascii="Times New Roman" w:eastAsia="Times New Roman" w:hAnsi="Times New Roman" w:cs="Times New Roman"/>
          <w:color w:val="070707"/>
          <w:sz w:val="23"/>
          <w:szCs w:val="23"/>
        </w:rPr>
        <w:t xml:space="preserve">before  </w:t>
      </w:r>
      <w:r>
        <w:rPr>
          <w:rFonts w:ascii="Times New Roman" w:eastAsia="Times New Roman" w:hAnsi="Times New Roman" w:cs="Times New Roman"/>
          <w:color w:val="181818"/>
          <w:sz w:val="23"/>
          <w:szCs w:val="23"/>
        </w:rPr>
        <w:t xml:space="preserve">extending  </w:t>
      </w:r>
      <w:r>
        <w:rPr>
          <w:rFonts w:ascii="Times New Roman" w:eastAsia="Times New Roman" w:hAnsi="Times New Roman" w:cs="Times New Roman"/>
          <w:color w:val="070707"/>
          <w:sz w:val="23"/>
          <w:szCs w:val="23"/>
        </w:rPr>
        <w:t xml:space="preserve">bona  fide  </w:t>
      </w:r>
      <w:r>
        <w:rPr>
          <w:rFonts w:ascii="Times New Roman" w:eastAsia="Times New Roman" w:hAnsi="Times New Roman" w:cs="Times New Roman"/>
          <w:color w:val="181818"/>
          <w:sz w:val="23"/>
          <w:szCs w:val="23"/>
        </w:rPr>
        <w:t xml:space="preserve">offers </w:t>
      </w:r>
      <w:r>
        <w:rPr>
          <w:rFonts w:ascii="Times New Roman" w:eastAsia="Times New Roman" w:hAnsi="Times New Roman" w:cs="Times New Roman"/>
          <w:color w:val="070707"/>
          <w:sz w:val="23"/>
          <w:szCs w:val="23"/>
        </w:rPr>
        <w:t xml:space="preserve">of  </w:t>
      </w:r>
      <w:r>
        <w:rPr>
          <w:rFonts w:ascii="Times New Roman" w:eastAsia="Times New Roman" w:hAnsi="Times New Roman" w:cs="Times New Roman"/>
          <w:color w:val="181818"/>
          <w:sz w:val="23"/>
          <w:szCs w:val="23"/>
        </w:rPr>
        <w:t xml:space="preserve">employment  </w:t>
      </w:r>
      <w:r>
        <w:rPr>
          <w:rFonts w:ascii="Times New Roman" w:eastAsia="Times New Roman" w:hAnsi="Times New Roman" w:cs="Times New Roman"/>
          <w:color w:val="070707"/>
          <w:sz w:val="23"/>
          <w:szCs w:val="23"/>
        </w:rPr>
        <w:t xml:space="preserve">to those </w:t>
      </w:r>
      <w:r>
        <w:rPr>
          <w:rFonts w:ascii="Times New Roman" w:eastAsia="Times New Roman" w:hAnsi="Times New Roman" w:cs="Times New Roman"/>
          <w:color w:val="070707"/>
          <w:spacing w:val="30"/>
          <w:sz w:val="23"/>
          <w:szCs w:val="23"/>
        </w:rPr>
        <w:t xml:space="preserve"> </w:t>
      </w:r>
      <w:r>
        <w:rPr>
          <w:rFonts w:ascii="Times New Roman" w:eastAsia="Times New Roman" w:hAnsi="Times New Roman" w:cs="Times New Roman"/>
          <w:color w:val="070707"/>
          <w:spacing w:val="2"/>
          <w:sz w:val="23"/>
          <w:szCs w:val="23"/>
        </w:rPr>
        <w:t>persons</w:t>
      </w:r>
      <w:r>
        <w:rPr>
          <w:rFonts w:ascii="Times New Roman" w:eastAsia="Times New Roman" w:hAnsi="Times New Roman" w:cs="Times New Roman"/>
          <w:color w:val="2F2F2F"/>
          <w:spacing w:val="2"/>
          <w:sz w:val="23"/>
          <w:szCs w:val="23"/>
        </w:rPr>
        <w:t>.</w:t>
      </w:r>
    </w:p>
    <w:p w:rsidR="002A1594" w:rsidRDefault="002A1594">
      <w:pPr>
        <w:rPr>
          <w:rFonts w:ascii="Times New Roman" w:eastAsia="Times New Roman" w:hAnsi="Times New Roman" w:cs="Times New Roman"/>
          <w:sz w:val="21"/>
          <w:szCs w:val="21"/>
        </w:rPr>
      </w:pPr>
    </w:p>
    <w:p w:rsidR="002A1594" w:rsidRDefault="00073D1D">
      <w:pPr>
        <w:ind w:left="4490" w:right="1743" w:hanging="5"/>
        <w:rPr>
          <w:rFonts w:ascii="Times New Roman" w:eastAsia="Times New Roman" w:hAnsi="Times New Roman" w:cs="Times New Roman"/>
          <w:sz w:val="23"/>
          <w:szCs w:val="23"/>
        </w:rPr>
      </w:pPr>
      <w:r>
        <w:rPr>
          <w:rFonts w:ascii="Times New Roman"/>
          <w:color w:val="070707"/>
          <w:sz w:val="23"/>
        </w:rPr>
        <w:t>BY THE</w:t>
      </w:r>
      <w:r>
        <w:rPr>
          <w:rFonts w:ascii="Times New Roman"/>
          <w:color w:val="070707"/>
          <w:spacing w:val="31"/>
          <w:sz w:val="23"/>
        </w:rPr>
        <w:t xml:space="preserve"> </w:t>
      </w:r>
      <w:r>
        <w:rPr>
          <w:rFonts w:ascii="Times New Roman"/>
          <w:color w:val="070707"/>
          <w:sz w:val="23"/>
        </w:rPr>
        <w:t>COURT:</w:t>
      </w:r>
    </w:p>
    <w:p w:rsidR="002A1594" w:rsidRDefault="002A1594">
      <w:pPr>
        <w:spacing w:before="11"/>
        <w:rPr>
          <w:rFonts w:ascii="Times New Roman" w:eastAsia="Times New Roman" w:hAnsi="Times New Roman" w:cs="Times New Roman"/>
          <w:sz w:val="8"/>
          <w:szCs w:val="8"/>
        </w:rPr>
      </w:pPr>
    </w:p>
    <w:p w:rsidR="002A1594" w:rsidRDefault="00073D1D">
      <w:pPr>
        <w:ind w:left="443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542031" cy="65836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0" cstate="print"/>
                    <a:stretch>
                      <a:fillRect/>
                    </a:stretch>
                  </pic:blipFill>
                  <pic:spPr>
                    <a:xfrm>
                      <a:off x="0" y="0"/>
                      <a:ext cx="2542031" cy="658368"/>
                    </a:xfrm>
                    <a:prstGeom prst="rect">
                      <a:avLst/>
                    </a:prstGeom>
                  </pic:spPr>
                </pic:pic>
              </a:graphicData>
            </a:graphic>
          </wp:inline>
        </w:drawing>
      </w:r>
    </w:p>
    <w:p w:rsidR="002A1594" w:rsidRDefault="00073D1D">
      <w:pPr>
        <w:spacing w:before="11"/>
        <w:ind w:left="4490" w:right="1743"/>
        <w:rPr>
          <w:rFonts w:ascii="Times New Roman" w:eastAsia="Times New Roman" w:hAnsi="Times New Roman" w:cs="Times New Roman"/>
          <w:sz w:val="23"/>
          <w:szCs w:val="23"/>
        </w:rPr>
      </w:pPr>
      <w:r>
        <w:rPr>
          <w:rFonts w:ascii="Times New Roman"/>
          <w:color w:val="070707"/>
          <w:w w:val="105"/>
          <w:sz w:val="23"/>
        </w:rPr>
        <w:t xml:space="preserve">KIM </w:t>
      </w:r>
      <w:r>
        <w:rPr>
          <w:rFonts w:ascii="Arial"/>
          <w:color w:val="070707"/>
          <w:w w:val="105"/>
          <w:sz w:val="21"/>
        </w:rPr>
        <w:t>R.</w:t>
      </w:r>
      <w:r>
        <w:rPr>
          <w:rFonts w:ascii="Arial"/>
          <w:color w:val="070707"/>
          <w:spacing w:val="-14"/>
          <w:w w:val="105"/>
          <w:sz w:val="21"/>
        </w:rPr>
        <w:t xml:space="preserve"> </w:t>
      </w:r>
      <w:r>
        <w:rPr>
          <w:rFonts w:ascii="Times New Roman"/>
          <w:color w:val="070707"/>
          <w:w w:val="105"/>
          <w:sz w:val="23"/>
        </w:rPr>
        <w:t>GIBSON</w:t>
      </w:r>
    </w:p>
    <w:p w:rsidR="002A1594" w:rsidRDefault="00073D1D">
      <w:pPr>
        <w:pStyle w:val="Heading2"/>
        <w:spacing w:before="34"/>
        <w:ind w:left="4485"/>
      </w:pPr>
      <w:r>
        <w:rPr>
          <w:color w:val="070707"/>
          <w:w w:val="105"/>
        </w:rPr>
        <w:t xml:space="preserve">UNITED </w:t>
      </w:r>
      <w:r>
        <w:rPr>
          <w:color w:val="070707"/>
          <w:spacing w:val="-8"/>
          <w:w w:val="105"/>
        </w:rPr>
        <w:t xml:space="preserve">STATES </w:t>
      </w:r>
      <w:r>
        <w:rPr>
          <w:color w:val="070707"/>
          <w:w w:val="105"/>
        </w:rPr>
        <w:t>DISTRICT</w:t>
      </w:r>
      <w:r>
        <w:rPr>
          <w:color w:val="070707"/>
          <w:spacing w:val="-11"/>
          <w:w w:val="105"/>
        </w:rPr>
        <w:t xml:space="preserve"> </w:t>
      </w:r>
      <w:r>
        <w:rPr>
          <w:color w:val="070707"/>
          <w:w w:val="105"/>
        </w:rPr>
        <w:t>JUDGE</w:t>
      </w:r>
    </w:p>
    <w:sectPr w:rsidR="002A1594">
      <w:type w:val="continuous"/>
      <w:pgSz w:w="12290" w:h="15840"/>
      <w:pgMar w:top="540" w:right="1480" w:bottom="280" w:left="1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D1D" w:rsidRDefault="00073D1D">
      <w:r>
        <w:separator/>
      </w:r>
    </w:p>
  </w:endnote>
  <w:endnote w:type="continuationSeparator" w:id="0">
    <w:p w:rsidR="00073D1D" w:rsidRDefault="0007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D1D" w:rsidRDefault="00073D1D">
      <w:r>
        <w:separator/>
      </w:r>
    </w:p>
  </w:footnote>
  <w:footnote w:type="continuationSeparator" w:id="0">
    <w:p w:rsidR="00073D1D" w:rsidRDefault="00073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94" w:rsidRDefault="00073D1D">
    <w:pPr>
      <w:spacing w:line="14" w:lineRule="auto"/>
      <w:rPr>
        <w:sz w:val="20"/>
        <w:szCs w:val="20"/>
      </w:rPr>
    </w:pPr>
    <w:r>
      <w:pict>
        <v:shapetype id="_x0000_t202" coordsize="21600,21600" o:spt="202" path="m,l,21600r21600,l21600,xe">
          <v:stroke joinstyle="miter"/>
          <v:path gradientshapeok="t" o:connecttype="rect"/>
        </v:shapetype>
        <v:shape id="_x0000_s2061" type="#_x0000_t202" style="position:absolute;margin-left:110.05pt;margin-top:14.3pt;width:391.95pt;height:14pt;z-index:-24640;mso-position-horizontal-relative:page;mso-position-vertical-relative:page" filled="f" stroked="f">
          <v:textbox inset="0,0,0,0">
            <w:txbxContent>
              <w:p w:rsidR="002A1594" w:rsidRDefault="00073D1D">
                <w:pPr>
                  <w:spacing w:line="265" w:lineRule="exact"/>
                  <w:ind w:left="20"/>
                  <w:rPr>
                    <w:rFonts w:ascii="Arial" w:eastAsia="Arial" w:hAnsi="Arial" w:cs="Arial"/>
                    <w:sz w:val="24"/>
                    <w:szCs w:val="24"/>
                  </w:rPr>
                </w:pPr>
                <w:r>
                  <w:rPr>
                    <w:rFonts w:ascii="Arial"/>
                    <w:color w:val="0000FF"/>
                    <w:sz w:val="24"/>
                  </w:rPr>
                  <w:t xml:space="preserve">Case 3:10-cv-00250-KRG   Document 143   Filed 03/06/14 </w:t>
                </w:r>
                <w:r>
                  <w:rPr>
                    <w:rFonts w:ascii="Arial"/>
                    <w:color w:val="0000FF"/>
                    <w:spacing w:val="15"/>
                    <w:sz w:val="24"/>
                  </w:rPr>
                  <w:t xml:space="preserve"> </w:t>
                </w:r>
                <w:r>
                  <w:rPr>
                    <w:rFonts w:ascii="Arial"/>
                    <w:color w:val="0000FF"/>
                    <w:sz w:val="24"/>
                  </w:rPr>
                  <w:t xml:space="preserve">Page </w:t>
                </w:r>
                <w:r>
                  <w:fldChar w:fldCharType="begin"/>
                </w:r>
                <w:r>
                  <w:rPr>
                    <w:rFonts w:ascii="Arial"/>
                    <w:color w:val="0000FF"/>
                    <w:sz w:val="24"/>
                  </w:rPr>
                  <w:instrText xml:space="preserve"> PAGE </w:instrText>
                </w:r>
                <w:r>
                  <w:fldChar w:fldCharType="separate"/>
                </w:r>
                <w:r w:rsidR="003E4439">
                  <w:rPr>
                    <w:rFonts w:ascii="Arial"/>
                    <w:noProof/>
                    <w:color w:val="0000FF"/>
                    <w:sz w:val="24"/>
                  </w:rPr>
                  <w:t>1</w:t>
                </w:r>
                <w:r>
                  <w:fldChar w:fldCharType="end"/>
                </w:r>
                <w:r>
                  <w:rPr>
                    <w:rFonts w:ascii="Arial"/>
                    <w:color w:val="0000FF"/>
                    <w:sz w:val="24"/>
                  </w:rPr>
                  <w:t xml:space="preserve"> of 59</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94" w:rsidRDefault="00073D1D">
    <w:pPr>
      <w:spacing w:line="14" w:lineRule="auto"/>
      <w:rPr>
        <w:sz w:val="20"/>
        <w:szCs w:val="20"/>
      </w:rPr>
    </w:pPr>
    <w:r>
      <w:pict>
        <v:shapetype id="_x0000_t202" coordsize="21600,21600" o:spt="202" path="m,l,21600r21600,l21600,xe">
          <v:stroke joinstyle="miter"/>
          <v:path gradientshapeok="t" o:connecttype="rect"/>
        </v:shapetype>
        <v:shape id="_x0000_s2052" type="#_x0000_t202" style="position:absolute;margin-left:106.7pt;margin-top:14.3pt;width:398.6pt;height:14pt;z-index:-24424;mso-position-horizontal-relative:page;mso-position-vertical-relative:page" filled="f" stroked="f">
          <v:textbox inset="0,0,0,0">
            <w:txbxContent>
              <w:p w:rsidR="002A1594" w:rsidRDefault="00073D1D">
                <w:pPr>
                  <w:spacing w:line="265" w:lineRule="exact"/>
                  <w:ind w:left="20"/>
                  <w:rPr>
                    <w:rFonts w:ascii="Arial" w:eastAsia="Arial" w:hAnsi="Arial" w:cs="Arial"/>
                    <w:sz w:val="24"/>
                    <w:szCs w:val="24"/>
                  </w:rPr>
                </w:pPr>
                <w:r>
                  <w:rPr>
                    <w:rFonts w:ascii="Arial"/>
                    <w:color w:val="0000FF"/>
                    <w:sz w:val="24"/>
                  </w:rPr>
                  <w:t xml:space="preserve">Case 3:10-cv-00250-KRG   Document 143   Filed 03/06/14 </w:t>
                </w:r>
                <w:r>
                  <w:rPr>
                    <w:rFonts w:ascii="Arial"/>
                    <w:color w:val="0000FF"/>
                    <w:spacing w:val="14"/>
                    <w:sz w:val="24"/>
                  </w:rPr>
                  <w:t xml:space="preserve"> </w:t>
                </w:r>
                <w:r>
                  <w:rPr>
                    <w:rFonts w:ascii="Arial"/>
                    <w:color w:val="0000FF"/>
                    <w:sz w:val="24"/>
                  </w:rPr>
                  <w:t>Page 50 of 59</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94" w:rsidRDefault="00073D1D">
    <w:pPr>
      <w:spacing w:line="14" w:lineRule="auto"/>
      <w:rPr>
        <w:sz w:val="20"/>
        <w:szCs w:val="20"/>
      </w:rPr>
    </w:pPr>
    <w:r>
      <w:pict>
        <v:shapetype id="_x0000_t202" coordsize="21600,21600" o:spt="202" path="m,l,21600r21600,l21600,xe">
          <v:stroke joinstyle="miter"/>
          <v:path gradientshapeok="t" o:connecttype="rect"/>
        </v:shapetype>
        <v:shape id="_x0000_s2051" type="#_x0000_t202" style="position:absolute;margin-left:106.7pt;margin-top:14.3pt;width:398.6pt;height:14pt;z-index:-24400;mso-position-horizontal-relative:page;mso-position-vertical-relative:page" filled="f" stroked="f">
          <v:textbox inset="0,0,0,0">
            <w:txbxContent>
              <w:p w:rsidR="002A1594" w:rsidRDefault="00073D1D">
                <w:pPr>
                  <w:spacing w:line="265" w:lineRule="exact"/>
                  <w:ind w:left="20"/>
                  <w:rPr>
                    <w:rFonts w:ascii="Arial" w:eastAsia="Arial" w:hAnsi="Arial" w:cs="Arial"/>
                    <w:sz w:val="24"/>
                    <w:szCs w:val="24"/>
                  </w:rPr>
                </w:pPr>
                <w:r>
                  <w:rPr>
                    <w:rFonts w:ascii="Arial"/>
                    <w:color w:val="0000FF"/>
                    <w:sz w:val="24"/>
                  </w:rPr>
                  <w:t>Case 3:10-cv-00250-KRG   Document 143   Filed 03/06</w:t>
                </w:r>
                <w:r>
                  <w:rPr>
                    <w:rFonts w:ascii="Arial"/>
                    <w:color w:val="0000FF"/>
                    <w:sz w:val="24"/>
                  </w:rPr>
                  <w:t xml:space="preserve">/14 </w:t>
                </w:r>
                <w:r>
                  <w:rPr>
                    <w:rFonts w:ascii="Arial"/>
                    <w:color w:val="0000FF"/>
                    <w:spacing w:val="15"/>
                    <w:sz w:val="24"/>
                  </w:rPr>
                  <w:t xml:space="preserve"> </w:t>
                </w:r>
                <w:r>
                  <w:rPr>
                    <w:rFonts w:ascii="Arial"/>
                    <w:color w:val="0000FF"/>
                    <w:sz w:val="24"/>
                  </w:rPr>
                  <w:t xml:space="preserve">Page </w:t>
                </w:r>
                <w:r>
                  <w:fldChar w:fldCharType="begin"/>
                </w:r>
                <w:r>
                  <w:rPr>
                    <w:rFonts w:ascii="Arial"/>
                    <w:color w:val="0000FF"/>
                    <w:sz w:val="24"/>
                  </w:rPr>
                  <w:instrText xml:space="preserve"> PAGE </w:instrText>
                </w:r>
                <w:r>
                  <w:fldChar w:fldCharType="separate"/>
                </w:r>
                <w:r w:rsidR="003E4439">
                  <w:rPr>
                    <w:rFonts w:ascii="Arial"/>
                    <w:noProof/>
                    <w:color w:val="0000FF"/>
                    <w:sz w:val="24"/>
                  </w:rPr>
                  <w:t>58</w:t>
                </w:r>
                <w:r>
                  <w:fldChar w:fldCharType="end"/>
                </w:r>
                <w:r>
                  <w:rPr>
                    <w:rFonts w:ascii="Arial"/>
                    <w:color w:val="0000FF"/>
                    <w:sz w:val="24"/>
                  </w:rPr>
                  <w:t xml:space="preserve"> of 59</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94" w:rsidRDefault="00073D1D">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108.3pt;margin-top:14.65pt;width:138.2pt;height:13pt;z-index:-24376;mso-position-horizontal-relative:page;mso-position-vertical-relative:page" filled="f" stroked="f">
          <v:textbox inset="0,0,0,0">
            <w:txbxContent>
              <w:p w:rsidR="002A1594" w:rsidRDefault="00073D1D">
                <w:pPr>
                  <w:pStyle w:val="BodyText"/>
                  <w:spacing w:before="0" w:line="245" w:lineRule="exact"/>
                  <w:ind w:left="20"/>
                  <w:rPr>
                    <w:rFonts w:ascii="Arial" w:eastAsia="Arial" w:hAnsi="Arial" w:cs="Arial"/>
                  </w:rPr>
                </w:pPr>
                <w:r>
                  <w:rPr>
                    <w:rFonts w:ascii="Arial"/>
                    <w:color w:val="0000FF"/>
                    <w:w w:val="105"/>
                  </w:rPr>
                  <w:t>Case</w:t>
                </w:r>
                <w:r>
                  <w:rPr>
                    <w:rFonts w:ascii="Arial"/>
                    <w:color w:val="0000FF"/>
                    <w:spacing w:val="64"/>
                    <w:w w:val="105"/>
                  </w:rPr>
                  <w:t xml:space="preserve"> </w:t>
                </w:r>
                <w:r>
                  <w:rPr>
                    <w:rFonts w:ascii="Arial"/>
                    <w:color w:val="0000FF"/>
                    <w:w w:val="105"/>
                  </w:rPr>
                  <w:t>3:10-cv-00250-KRG</w:t>
                </w:r>
              </w:p>
            </w:txbxContent>
          </v:textbox>
          <w10:wrap anchorx="page" anchory="page"/>
        </v:shape>
      </w:pict>
    </w:r>
    <w:r>
      <w:pict>
        <v:shape id="_x0000_s2049" type="#_x0000_t202" style="position:absolute;margin-left:256.6pt;margin-top:14.65pt;width:250.1pt;height:13pt;z-index:-24352;mso-position-horizontal-relative:page;mso-position-vertical-relative:page" filled="f" stroked="f">
          <v:textbox inset="0,0,0,0">
            <w:txbxContent>
              <w:p w:rsidR="002A1594" w:rsidRDefault="00073D1D">
                <w:pPr>
                  <w:pStyle w:val="BodyText"/>
                  <w:tabs>
                    <w:tab w:val="left" w:pos="1777"/>
                    <w:tab w:val="left" w:pos="3506"/>
                  </w:tabs>
                  <w:spacing w:before="0" w:line="245" w:lineRule="exact"/>
                  <w:ind w:left="20"/>
                  <w:rPr>
                    <w:rFonts w:ascii="Arial" w:eastAsia="Arial" w:hAnsi="Arial" w:cs="Arial"/>
                  </w:rPr>
                </w:pPr>
                <w:r>
                  <w:rPr>
                    <w:rFonts w:ascii="Arial"/>
                    <w:color w:val="0000FF"/>
                    <w:w w:val="115"/>
                  </w:rPr>
                  <w:t>Document</w:t>
                </w:r>
                <w:r>
                  <w:rPr>
                    <w:rFonts w:ascii="Arial"/>
                    <w:color w:val="0000FF"/>
                    <w:spacing w:val="-45"/>
                    <w:w w:val="115"/>
                  </w:rPr>
                  <w:t xml:space="preserve"> </w:t>
                </w:r>
                <w:r>
                  <w:rPr>
                    <w:rFonts w:ascii="Arial"/>
                    <w:color w:val="0000FF"/>
                    <w:spacing w:val="-19"/>
                    <w:w w:val="115"/>
                  </w:rPr>
                  <w:t>143</w:t>
                </w:r>
                <w:r>
                  <w:rPr>
                    <w:rFonts w:ascii="Arial"/>
                    <w:color w:val="0000FF"/>
                    <w:spacing w:val="-19"/>
                    <w:w w:val="115"/>
                  </w:rPr>
                  <w:tab/>
                </w:r>
                <w:r>
                  <w:rPr>
                    <w:rFonts w:ascii="Arial"/>
                    <w:color w:val="0000FF"/>
                    <w:spacing w:val="-7"/>
                    <w:w w:val="115"/>
                  </w:rPr>
                  <w:t>Filed</w:t>
                </w:r>
                <w:r>
                  <w:rPr>
                    <w:rFonts w:ascii="Arial"/>
                    <w:color w:val="0000FF"/>
                    <w:spacing w:val="-29"/>
                    <w:w w:val="115"/>
                  </w:rPr>
                  <w:t xml:space="preserve"> </w:t>
                </w:r>
                <w:r>
                  <w:rPr>
                    <w:rFonts w:ascii="Arial"/>
                    <w:color w:val="0000FF"/>
                    <w:spacing w:val="-4"/>
                    <w:w w:val="115"/>
                  </w:rPr>
                  <w:t>03/06/14</w:t>
                </w:r>
                <w:r>
                  <w:rPr>
                    <w:rFonts w:ascii="Arial"/>
                    <w:color w:val="0000FF"/>
                    <w:spacing w:val="-4"/>
                    <w:w w:val="115"/>
                  </w:rPr>
                  <w:tab/>
                </w:r>
                <w:r>
                  <w:rPr>
                    <w:rFonts w:ascii="Arial"/>
                    <w:color w:val="0000FF"/>
                    <w:w w:val="115"/>
                  </w:rPr>
                  <w:t>Page</w:t>
                </w:r>
                <w:r>
                  <w:rPr>
                    <w:rFonts w:ascii="Arial"/>
                    <w:color w:val="0000FF"/>
                    <w:spacing w:val="-38"/>
                    <w:w w:val="115"/>
                  </w:rPr>
                  <w:t xml:space="preserve"> </w:t>
                </w:r>
                <w:r>
                  <w:rPr>
                    <w:rFonts w:ascii="Arial"/>
                    <w:color w:val="0000FF"/>
                    <w:w w:val="115"/>
                  </w:rPr>
                  <w:t>59</w:t>
                </w:r>
                <w:r>
                  <w:rPr>
                    <w:rFonts w:ascii="Arial"/>
                    <w:color w:val="0000FF"/>
                    <w:spacing w:val="-33"/>
                    <w:w w:val="115"/>
                  </w:rPr>
                  <w:t xml:space="preserve"> </w:t>
                </w:r>
                <w:r>
                  <w:rPr>
                    <w:rFonts w:ascii="Arial"/>
                    <w:color w:val="0000FF"/>
                    <w:w w:val="115"/>
                  </w:rPr>
                  <w:t>of</w:t>
                </w:r>
                <w:r>
                  <w:rPr>
                    <w:rFonts w:ascii="Arial"/>
                    <w:color w:val="0000FF"/>
                    <w:spacing w:val="-32"/>
                    <w:w w:val="115"/>
                  </w:rPr>
                  <w:t xml:space="preserve"> </w:t>
                </w:r>
                <w:r>
                  <w:rPr>
                    <w:rFonts w:ascii="Arial"/>
                    <w:color w:val="0000FF"/>
                    <w:w w:val="115"/>
                  </w:rPr>
                  <w:t>59</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94" w:rsidRDefault="00073D1D">
    <w:pPr>
      <w:spacing w:line="14" w:lineRule="auto"/>
      <w:rPr>
        <w:sz w:val="20"/>
        <w:szCs w:val="20"/>
      </w:rPr>
    </w:pPr>
    <w:r>
      <w:pict>
        <v:shapetype id="_x0000_t202" coordsize="21600,21600" o:spt="202" path="m,l,21600r21600,l21600,xe">
          <v:stroke joinstyle="miter"/>
          <v:path gradientshapeok="t" o:connecttype="rect"/>
        </v:shapetype>
        <v:shape id="_x0000_s2060" type="#_x0000_t202" style="position:absolute;margin-left:106.7pt;margin-top:14.3pt;width:398.6pt;height:14pt;z-index:-24616;mso-position-horizontal-relative:page;mso-position-vertical-relative:page" filled="f" stroked="f">
          <v:textbox inset="0,0,0,0">
            <w:txbxContent>
              <w:p w:rsidR="002A1594" w:rsidRDefault="00073D1D">
                <w:pPr>
                  <w:spacing w:line="265" w:lineRule="exact"/>
                  <w:ind w:left="20"/>
                  <w:rPr>
                    <w:rFonts w:ascii="Arial" w:eastAsia="Arial" w:hAnsi="Arial" w:cs="Arial"/>
                    <w:sz w:val="24"/>
                    <w:szCs w:val="24"/>
                  </w:rPr>
                </w:pPr>
                <w:r>
                  <w:rPr>
                    <w:rFonts w:ascii="Arial"/>
                    <w:color w:val="0000FF"/>
                    <w:sz w:val="24"/>
                  </w:rPr>
                  <w:t xml:space="preserve">Case 3:10-cv-00250-KRG   Document 143   Filed 03/06/14 </w:t>
                </w:r>
                <w:r>
                  <w:rPr>
                    <w:rFonts w:ascii="Arial"/>
                    <w:color w:val="0000FF"/>
                    <w:spacing w:val="14"/>
                    <w:sz w:val="24"/>
                  </w:rPr>
                  <w:t xml:space="preserve"> </w:t>
                </w:r>
                <w:r>
                  <w:rPr>
                    <w:rFonts w:ascii="Arial"/>
                    <w:color w:val="0000FF"/>
                    <w:sz w:val="24"/>
                  </w:rPr>
                  <w:t>Page 10 of 59</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94" w:rsidRDefault="00073D1D">
    <w:pPr>
      <w:spacing w:line="14" w:lineRule="auto"/>
      <w:rPr>
        <w:sz w:val="20"/>
        <w:szCs w:val="20"/>
      </w:rPr>
    </w:pPr>
    <w:r>
      <w:pict>
        <v:shapetype id="_x0000_t202" coordsize="21600,21600" o:spt="202" path="m,l,21600r21600,l21600,xe">
          <v:stroke joinstyle="miter"/>
          <v:path gradientshapeok="t" o:connecttype="rect"/>
        </v:shapetype>
        <v:shape id="_x0000_s2059" type="#_x0000_t202" style="position:absolute;margin-left:106.7pt;margin-top:14.3pt;width:398.6pt;height:14pt;z-index:-24592;mso-position-horizontal-relative:page;mso-position-vertical-relative:page" filled="f" stroked="f">
          <v:textbox inset="0,0,0,0">
            <w:txbxContent>
              <w:p w:rsidR="002A1594" w:rsidRDefault="00073D1D">
                <w:pPr>
                  <w:spacing w:line="265" w:lineRule="exact"/>
                  <w:ind w:left="20"/>
                  <w:rPr>
                    <w:rFonts w:ascii="Arial" w:eastAsia="Arial" w:hAnsi="Arial" w:cs="Arial"/>
                    <w:sz w:val="24"/>
                    <w:szCs w:val="24"/>
                  </w:rPr>
                </w:pPr>
                <w:r>
                  <w:rPr>
                    <w:rFonts w:ascii="Arial"/>
                    <w:color w:val="0000FF"/>
                    <w:sz w:val="24"/>
                  </w:rPr>
                  <w:t xml:space="preserve">Case 3:10-cv-00250-KRG   Document 143   Filed 03/06/14 </w:t>
                </w:r>
                <w:r>
                  <w:rPr>
                    <w:rFonts w:ascii="Arial"/>
                    <w:color w:val="0000FF"/>
                    <w:spacing w:val="15"/>
                    <w:sz w:val="24"/>
                  </w:rPr>
                  <w:t xml:space="preserve"> </w:t>
                </w:r>
                <w:r>
                  <w:rPr>
                    <w:rFonts w:ascii="Arial"/>
                    <w:color w:val="0000FF"/>
                    <w:sz w:val="24"/>
                  </w:rPr>
                  <w:t xml:space="preserve">Page </w:t>
                </w:r>
                <w:r>
                  <w:fldChar w:fldCharType="begin"/>
                </w:r>
                <w:r>
                  <w:rPr>
                    <w:rFonts w:ascii="Arial"/>
                    <w:color w:val="0000FF"/>
                    <w:sz w:val="24"/>
                  </w:rPr>
                  <w:instrText xml:space="preserve"> PAGE </w:instrText>
                </w:r>
                <w:r>
                  <w:fldChar w:fldCharType="separate"/>
                </w:r>
                <w:r w:rsidR="003E4439">
                  <w:rPr>
                    <w:rFonts w:ascii="Arial"/>
                    <w:noProof/>
                    <w:color w:val="0000FF"/>
                    <w:sz w:val="24"/>
                  </w:rPr>
                  <w:t>19</w:t>
                </w:r>
                <w:r>
                  <w:fldChar w:fldCharType="end"/>
                </w:r>
                <w:r>
                  <w:rPr>
                    <w:rFonts w:ascii="Arial"/>
                    <w:color w:val="0000FF"/>
                    <w:sz w:val="24"/>
                  </w:rPr>
                  <w:t xml:space="preserve"> of 59</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94" w:rsidRDefault="00073D1D">
    <w:pPr>
      <w:spacing w:line="14" w:lineRule="auto"/>
      <w:rPr>
        <w:sz w:val="20"/>
        <w:szCs w:val="20"/>
      </w:rPr>
    </w:pPr>
    <w:r>
      <w:pict>
        <v:shapetype id="_x0000_t202" coordsize="21600,21600" o:spt="202" path="m,l,21600r21600,l21600,xe">
          <v:stroke joinstyle="miter"/>
          <v:path gradientshapeok="t" o:connecttype="rect"/>
        </v:shapetype>
        <v:shape id="_x0000_s2058" type="#_x0000_t202" style="position:absolute;margin-left:106.7pt;margin-top:14.3pt;width:398.6pt;height:14pt;z-index:-24568;mso-position-horizontal-relative:page;mso-position-vertical-relative:page" filled="f" stroked="f">
          <v:textbox inset="0,0,0,0">
            <w:txbxContent>
              <w:p w:rsidR="002A1594" w:rsidRDefault="00073D1D">
                <w:pPr>
                  <w:spacing w:line="265" w:lineRule="exact"/>
                  <w:ind w:left="20"/>
                  <w:rPr>
                    <w:rFonts w:ascii="Arial" w:eastAsia="Arial" w:hAnsi="Arial" w:cs="Arial"/>
                    <w:sz w:val="24"/>
                    <w:szCs w:val="24"/>
                  </w:rPr>
                </w:pPr>
                <w:r>
                  <w:rPr>
                    <w:rFonts w:ascii="Arial"/>
                    <w:color w:val="0000FF"/>
                    <w:sz w:val="24"/>
                  </w:rPr>
                  <w:t xml:space="preserve">Case 3:10-cv-00250-KRG   Document 143   Filed 03/06/14 </w:t>
                </w:r>
                <w:r>
                  <w:rPr>
                    <w:rFonts w:ascii="Arial"/>
                    <w:color w:val="0000FF"/>
                    <w:spacing w:val="14"/>
                    <w:sz w:val="24"/>
                  </w:rPr>
                  <w:t xml:space="preserve"> </w:t>
                </w:r>
                <w:r>
                  <w:rPr>
                    <w:rFonts w:ascii="Arial"/>
                    <w:color w:val="0000FF"/>
                    <w:sz w:val="24"/>
                  </w:rPr>
                  <w:t>Page 20 of 59</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94" w:rsidRDefault="00073D1D">
    <w:pPr>
      <w:spacing w:line="14" w:lineRule="auto"/>
      <w:rPr>
        <w:sz w:val="20"/>
        <w:szCs w:val="20"/>
      </w:rPr>
    </w:pPr>
    <w:r>
      <w:pict>
        <v:shapetype id="_x0000_t202" coordsize="21600,21600" o:spt="202" path="m,l,21600r21600,l21600,xe">
          <v:stroke joinstyle="miter"/>
          <v:path gradientshapeok="t" o:connecttype="rect"/>
        </v:shapetype>
        <v:shape id="_x0000_s2057" type="#_x0000_t202" style="position:absolute;margin-left:106.7pt;margin-top:14.3pt;width:398.6pt;height:14pt;z-index:-24544;mso-position-horizontal-relative:page;mso-position-vertical-relative:page" filled="f" stroked="f">
          <v:textbox inset="0,0,0,0">
            <w:txbxContent>
              <w:p w:rsidR="002A1594" w:rsidRDefault="00073D1D">
                <w:pPr>
                  <w:spacing w:line="265" w:lineRule="exact"/>
                  <w:ind w:left="20"/>
                  <w:rPr>
                    <w:rFonts w:ascii="Arial" w:eastAsia="Arial" w:hAnsi="Arial" w:cs="Arial"/>
                    <w:sz w:val="24"/>
                    <w:szCs w:val="24"/>
                  </w:rPr>
                </w:pPr>
                <w:r>
                  <w:rPr>
                    <w:rFonts w:ascii="Arial"/>
                    <w:color w:val="0000FF"/>
                    <w:sz w:val="24"/>
                  </w:rPr>
                  <w:t xml:space="preserve">Case 3:10-cv-00250-KRG   Document 143   Filed 03/06/14 </w:t>
                </w:r>
                <w:r>
                  <w:rPr>
                    <w:rFonts w:ascii="Arial"/>
                    <w:color w:val="0000FF"/>
                    <w:spacing w:val="15"/>
                    <w:sz w:val="24"/>
                  </w:rPr>
                  <w:t xml:space="preserve"> </w:t>
                </w:r>
                <w:r>
                  <w:rPr>
                    <w:rFonts w:ascii="Arial"/>
                    <w:color w:val="0000FF"/>
                    <w:sz w:val="24"/>
                  </w:rPr>
                  <w:t xml:space="preserve">Page </w:t>
                </w:r>
                <w:r>
                  <w:fldChar w:fldCharType="begin"/>
                </w:r>
                <w:r>
                  <w:rPr>
                    <w:rFonts w:ascii="Arial"/>
                    <w:color w:val="0000FF"/>
                    <w:sz w:val="24"/>
                  </w:rPr>
                  <w:instrText xml:space="preserve"> PAGE </w:instrText>
                </w:r>
                <w:r>
                  <w:fldChar w:fldCharType="separate"/>
                </w:r>
                <w:r w:rsidR="003E4439">
                  <w:rPr>
                    <w:rFonts w:ascii="Arial"/>
                    <w:noProof/>
                    <w:color w:val="0000FF"/>
                    <w:sz w:val="24"/>
                  </w:rPr>
                  <w:t>29</w:t>
                </w:r>
                <w:r>
                  <w:fldChar w:fldCharType="end"/>
                </w:r>
                <w:r>
                  <w:rPr>
                    <w:rFonts w:ascii="Arial"/>
                    <w:color w:val="0000FF"/>
                    <w:sz w:val="24"/>
                  </w:rPr>
                  <w:t xml:space="preserve"> of 59</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94" w:rsidRDefault="00073D1D">
    <w:pPr>
      <w:spacing w:line="14" w:lineRule="auto"/>
      <w:rPr>
        <w:sz w:val="20"/>
        <w:szCs w:val="20"/>
      </w:rPr>
    </w:pPr>
    <w:r>
      <w:pict>
        <v:shapetype id="_x0000_t202" coordsize="21600,21600" o:spt="202" path="m,l,21600r21600,l21600,xe">
          <v:stroke joinstyle="miter"/>
          <v:path gradientshapeok="t" o:connecttype="rect"/>
        </v:shapetype>
        <v:shape id="_x0000_s2056" type="#_x0000_t202" style="position:absolute;margin-left:106.7pt;margin-top:14.3pt;width:398.6pt;height:14pt;z-index:-24520;mso-position-horizontal-relative:page;mso-position-vertical-relative:page" filled="f" stroked="f">
          <v:textbox inset="0,0,0,0">
            <w:txbxContent>
              <w:p w:rsidR="002A1594" w:rsidRDefault="00073D1D">
                <w:pPr>
                  <w:spacing w:line="265" w:lineRule="exact"/>
                  <w:ind w:left="20"/>
                  <w:rPr>
                    <w:rFonts w:ascii="Arial" w:eastAsia="Arial" w:hAnsi="Arial" w:cs="Arial"/>
                    <w:sz w:val="24"/>
                    <w:szCs w:val="24"/>
                  </w:rPr>
                </w:pPr>
                <w:r>
                  <w:rPr>
                    <w:rFonts w:ascii="Arial"/>
                    <w:color w:val="0000FF"/>
                    <w:sz w:val="24"/>
                  </w:rPr>
                  <w:t xml:space="preserve">Case 3:10-cv-00250-KRG   Document 143   Filed 03/06/14 </w:t>
                </w:r>
                <w:r>
                  <w:rPr>
                    <w:rFonts w:ascii="Arial"/>
                    <w:color w:val="0000FF"/>
                    <w:spacing w:val="14"/>
                    <w:sz w:val="24"/>
                  </w:rPr>
                  <w:t xml:space="preserve"> </w:t>
                </w:r>
                <w:r>
                  <w:rPr>
                    <w:rFonts w:ascii="Arial"/>
                    <w:color w:val="0000FF"/>
                    <w:sz w:val="24"/>
                  </w:rPr>
                  <w:t>Page 30 of 59</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94" w:rsidRDefault="00073D1D">
    <w:pPr>
      <w:spacing w:line="14" w:lineRule="auto"/>
      <w:rPr>
        <w:sz w:val="20"/>
        <w:szCs w:val="20"/>
      </w:rPr>
    </w:pPr>
    <w:r>
      <w:pict>
        <v:shapetype id="_x0000_t202" coordsize="21600,21600" o:spt="202" path="m,l,21600r21600,l21600,xe">
          <v:stroke joinstyle="miter"/>
          <v:path gradientshapeok="t" o:connecttype="rect"/>
        </v:shapetype>
        <v:shape id="_x0000_s2055" type="#_x0000_t202" style="position:absolute;margin-left:106.7pt;margin-top:14.3pt;width:398.6pt;height:14pt;z-index:-24496;mso-position-horizontal-relative:page;mso-position-vertical-relative:page" filled="f" stroked="f">
          <v:textbox inset="0,0,0,0">
            <w:txbxContent>
              <w:p w:rsidR="002A1594" w:rsidRDefault="00073D1D">
                <w:pPr>
                  <w:spacing w:line="265" w:lineRule="exact"/>
                  <w:ind w:left="20"/>
                  <w:rPr>
                    <w:rFonts w:ascii="Arial" w:eastAsia="Arial" w:hAnsi="Arial" w:cs="Arial"/>
                    <w:sz w:val="24"/>
                    <w:szCs w:val="24"/>
                  </w:rPr>
                </w:pPr>
                <w:r>
                  <w:rPr>
                    <w:rFonts w:ascii="Arial"/>
                    <w:color w:val="0000FF"/>
                    <w:sz w:val="24"/>
                  </w:rPr>
                  <w:t xml:space="preserve">Case 3:10-cv-00250-KRG   Document 143   Filed 03/06/14 </w:t>
                </w:r>
                <w:r>
                  <w:rPr>
                    <w:rFonts w:ascii="Arial"/>
                    <w:color w:val="0000FF"/>
                    <w:spacing w:val="15"/>
                    <w:sz w:val="24"/>
                  </w:rPr>
                  <w:t xml:space="preserve"> </w:t>
                </w:r>
                <w:r>
                  <w:rPr>
                    <w:rFonts w:ascii="Arial"/>
                    <w:color w:val="0000FF"/>
                    <w:sz w:val="24"/>
                  </w:rPr>
                  <w:t xml:space="preserve">Page </w:t>
                </w:r>
                <w:r>
                  <w:fldChar w:fldCharType="begin"/>
                </w:r>
                <w:r>
                  <w:rPr>
                    <w:rFonts w:ascii="Arial"/>
                    <w:color w:val="0000FF"/>
                    <w:sz w:val="24"/>
                  </w:rPr>
                  <w:instrText xml:space="preserve"> PAGE </w:instrText>
                </w:r>
                <w:r>
                  <w:fldChar w:fldCharType="separate"/>
                </w:r>
                <w:r w:rsidR="003E4439">
                  <w:rPr>
                    <w:rFonts w:ascii="Arial"/>
                    <w:noProof/>
                    <w:color w:val="0000FF"/>
                    <w:sz w:val="24"/>
                  </w:rPr>
                  <w:t>39</w:t>
                </w:r>
                <w:r>
                  <w:fldChar w:fldCharType="end"/>
                </w:r>
                <w:r>
                  <w:rPr>
                    <w:rFonts w:ascii="Arial"/>
                    <w:color w:val="0000FF"/>
                    <w:sz w:val="24"/>
                  </w:rPr>
                  <w:t xml:space="preserve"> of 59</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94" w:rsidRDefault="00073D1D">
    <w:pPr>
      <w:spacing w:line="14" w:lineRule="auto"/>
      <w:rPr>
        <w:sz w:val="20"/>
        <w:szCs w:val="20"/>
      </w:rPr>
    </w:pPr>
    <w:r>
      <w:pict>
        <v:shapetype id="_x0000_t202" coordsize="21600,21600" o:spt="202" path="m,l,21600r21600,l21600,xe">
          <v:stroke joinstyle="miter"/>
          <v:path gradientshapeok="t" o:connecttype="rect"/>
        </v:shapetype>
        <v:shape id="_x0000_s2054" type="#_x0000_t202" style="position:absolute;margin-left:106.7pt;margin-top:14.3pt;width:398.6pt;height:14pt;z-index:-24472;mso-position-horizontal-relative:page;mso-position-vertical-relative:page" filled="f" stroked="f">
          <v:textbox inset="0,0,0,0">
            <w:txbxContent>
              <w:p w:rsidR="002A1594" w:rsidRDefault="00073D1D">
                <w:pPr>
                  <w:spacing w:line="265" w:lineRule="exact"/>
                  <w:ind w:left="20"/>
                  <w:rPr>
                    <w:rFonts w:ascii="Arial" w:eastAsia="Arial" w:hAnsi="Arial" w:cs="Arial"/>
                    <w:sz w:val="24"/>
                    <w:szCs w:val="24"/>
                  </w:rPr>
                </w:pPr>
                <w:r>
                  <w:rPr>
                    <w:rFonts w:ascii="Arial"/>
                    <w:color w:val="0000FF"/>
                    <w:sz w:val="24"/>
                  </w:rPr>
                  <w:t xml:space="preserve">Case 3:10-cv-00250-KRG   Document 143   Filed 03/06/14 </w:t>
                </w:r>
                <w:r>
                  <w:rPr>
                    <w:rFonts w:ascii="Arial"/>
                    <w:color w:val="0000FF"/>
                    <w:spacing w:val="14"/>
                    <w:sz w:val="24"/>
                  </w:rPr>
                  <w:t xml:space="preserve"> </w:t>
                </w:r>
                <w:r>
                  <w:rPr>
                    <w:rFonts w:ascii="Arial"/>
                    <w:color w:val="0000FF"/>
                    <w:sz w:val="24"/>
                  </w:rPr>
                  <w:t>Page 40 of 59</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94" w:rsidRDefault="00073D1D">
    <w:pPr>
      <w:spacing w:line="14" w:lineRule="auto"/>
      <w:rPr>
        <w:sz w:val="20"/>
        <w:szCs w:val="20"/>
      </w:rPr>
    </w:pPr>
    <w:r>
      <w:pict>
        <v:shapetype id="_x0000_t202" coordsize="21600,21600" o:spt="202" path="m,l,21600r21600,l21600,xe">
          <v:stroke joinstyle="miter"/>
          <v:path gradientshapeok="t" o:connecttype="rect"/>
        </v:shapetype>
        <v:shape id="_x0000_s2053" type="#_x0000_t202" style="position:absolute;margin-left:106.7pt;margin-top:14.3pt;width:398.6pt;height:14pt;z-index:-24448;mso-position-horizontal-relative:page;mso-position-vertical-relative:page" filled="f" stroked="f">
          <v:textbox inset="0,0,0,0">
            <w:txbxContent>
              <w:p w:rsidR="002A1594" w:rsidRDefault="00073D1D">
                <w:pPr>
                  <w:spacing w:line="265" w:lineRule="exact"/>
                  <w:ind w:left="20"/>
                  <w:rPr>
                    <w:rFonts w:ascii="Arial" w:eastAsia="Arial" w:hAnsi="Arial" w:cs="Arial"/>
                    <w:sz w:val="24"/>
                    <w:szCs w:val="24"/>
                  </w:rPr>
                </w:pPr>
                <w:r>
                  <w:rPr>
                    <w:rFonts w:ascii="Arial"/>
                    <w:color w:val="0000FF"/>
                    <w:sz w:val="24"/>
                  </w:rPr>
                  <w:t xml:space="preserve">Case 3:10-cv-00250-KRG   Document 143   Filed 03/06/14 </w:t>
                </w:r>
                <w:r>
                  <w:rPr>
                    <w:rFonts w:ascii="Arial"/>
                    <w:color w:val="0000FF"/>
                    <w:spacing w:val="15"/>
                    <w:sz w:val="24"/>
                  </w:rPr>
                  <w:t xml:space="preserve"> </w:t>
                </w:r>
                <w:r>
                  <w:rPr>
                    <w:rFonts w:ascii="Arial"/>
                    <w:color w:val="0000FF"/>
                    <w:sz w:val="24"/>
                  </w:rPr>
                  <w:t xml:space="preserve">Page </w:t>
                </w:r>
                <w:r>
                  <w:fldChar w:fldCharType="begin"/>
                </w:r>
                <w:r>
                  <w:rPr>
                    <w:rFonts w:ascii="Arial"/>
                    <w:color w:val="0000FF"/>
                    <w:sz w:val="24"/>
                  </w:rPr>
                  <w:instrText xml:space="preserve"> PAGE </w:instrText>
                </w:r>
                <w:r>
                  <w:fldChar w:fldCharType="separate"/>
                </w:r>
                <w:r w:rsidR="003E4439">
                  <w:rPr>
                    <w:rFonts w:ascii="Arial"/>
                    <w:noProof/>
                    <w:color w:val="0000FF"/>
                    <w:sz w:val="24"/>
                  </w:rPr>
                  <w:t>49</w:t>
                </w:r>
                <w:r>
                  <w:fldChar w:fldCharType="end"/>
                </w:r>
                <w:r>
                  <w:rPr>
                    <w:rFonts w:ascii="Arial"/>
                    <w:color w:val="0000FF"/>
                    <w:sz w:val="24"/>
                  </w:rPr>
                  <w:t xml:space="preserve"> of 59</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F7DF4"/>
    <w:multiLevelType w:val="hybridMultilevel"/>
    <w:tmpl w:val="819498DA"/>
    <w:lvl w:ilvl="0" w:tplc="78FE1BD0">
      <w:start w:val="1"/>
      <w:numFmt w:val="upperRoman"/>
      <w:lvlText w:val="%1."/>
      <w:lvlJc w:val="left"/>
      <w:pPr>
        <w:ind w:left="1028" w:hanging="720"/>
        <w:jc w:val="right"/>
      </w:pPr>
      <w:rPr>
        <w:rFonts w:ascii="Palatino Linotype" w:eastAsia="Palatino Linotype" w:hAnsi="Palatino Linotype" w:hint="default"/>
        <w:b/>
        <w:bCs/>
        <w:w w:val="100"/>
        <w:sz w:val="22"/>
        <w:szCs w:val="22"/>
      </w:rPr>
    </w:lvl>
    <w:lvl w:ilvl="1" w:tplc="61B248A0">
      <w:start w:val="4"/>
      <w:numFmt w:val="lowerLetter"/>
      <w:lvlText w:val="(%2)"/>
      <w:lvlJc w:val="left"/>
      <w:pPr>
        <w:ind w:left="1166" w:hanging="338"/>
        <w:jc w:val="left"/>
      </w:pPr>
      <w:rPr>
        <w:rFonts w:ascii="Palatino Linotype" w:eastAsia="Palatino Linotype" w:hAnsi="Palatino Linotype" w:hint="default"/>
        <w:b/>
        <w:bCs/>
        <w:w w:val="100"/>
        <w:sz w:val="22"/>
        <w:szCs w:val="22"/>
      </w:rPr>
    </w:lvl>
    <w:lvl w:ilvl="2" w:tplc="B5F897FC">
      <w:start w:val="1"/>
      <w:numFmt w:val="decimal"/>
      <w:lvlText w:val="(%3)"/>
      <w:lvlJc w:val="left"/>
      <w:pPr>
        <w:ind w:left="1202" w:hanging="375"/>
        <w:jc w:val="left"/>
      </w:pPr>
      <w:rPr>
        <w:rFonts w:ascii="Palatino Linotype" w:eastAsia="Palatino Linotype" w:hAnsi="Palatino Linotype" w:hint="default"/>
        <w:w w:val="100"/>
        <w:sz w:val="22"/>
        <w:szCs w:val="22"/>
      </w:rPr>
    </w:lvl>
    <w:lvl w:ilvl="3" w:tplc="3C0CE3CA">
      <w:start w:val="1"/>
      <w:numFmt w:val="upperLetter"/>
      <w:lvlText w:val="(%4)"/>
      <w:lvlJc w:val="left"/>
      <w:pPr>
        <w:ind w:left="1968" w:hanging="420"/>
        <w:jc w:val="left"/>
      </w:pPr>
      <w:rPr>
        <w:rFonts w:ascii="Palatino Linotype" w:eastAsia="Palatino Linotype" w:hAnsi="Palatino Linotype" w:hint="default"/>
        <w:spacing w:val="-2"/>
        <w:w w:val="100"/>
        <w:sz w:val="22"/>
        <w:szCs w:val="22"/>
      </w:rPr>
    </w:lvl>
    <w:lvl w:ilvl="4" w:tplc="3C223FF4">
      <w:start w:val="1"/>
      <w:numFmt w:val="bullet"/>
      <w:lvlText w:val="•"/>
      <w:lvlJc w:val="left"/>
      <w:pPr>
        <w:ind w:left="2965" w:hanging="420"/>
      </w:pPr>
      <w:rPr>
        <w:rFonts w:hint="default"/>
      </w:rPr>
    </w:lvl>
    <w:lvl w:ilvl="5" w:tplc="F19214E0">
      <w:start w:val="1"/>
      <w:numFmt w:val="bullet"/>
      <w:lvlText w:val="•"/>
      <w:lvlJc w:val="left"/>
      <w:pPr>
        <w:ind w:left="3971" w:hanging="420"/>
      </w:pPr>
      <w:rPr>
        <w:rFonts w:hint="default"/>
      </w:rPr>
    </w:lvl>
    <w:lvl w:ilvl="6" w:tplc="170EBC9E">
      <w:start w:val="1"/>
      <w:numFmt w:val="bullet"/>
      <w:lvlText w:val="•"/>
      <w:lvlJc w:val="left"/>
      <w:pPr>
        <w:ind w:left="4977" w:hanging="420"/>
      </w:pPr>
      <w:rPr>
        <w:rFonts w:hint="default"/>
      </w:rPr>
    </w:lvl>
    <w:lvl w:ilvl="7" w:tplc="6AD01F8C">
      <w:start w:val="1"/>
      <w:numFmt w:val="bullet"/>
      <w:lvlText w:val="•"/>
      <w:lvlJc w:val="left"/>
      <w:pPr>
        <w:ind w:left="5982" w:hanging="420"/>
      </w:pPr>
      <w:rPr>
        <w:rFonts w:hint="default"/>
      </w:rPr>
    </w:lvl>
    <w:lvl w:ilvl="8" w:tplc="AE34A432">
      <w:start w:val="1"/>
      <w:numFmt w:val="bullet"/>
      <w:lvlText w:val="•"/>
      <w:lvlJc w:val="left"/>
      <w:pPr>
        <w:ind w:left="6988" w:hanging="420"/>
      </w:pPr>
      <w:rPr>
        <w:rFonts w:hint="default"/>
      </w:rPr>
    </w:lvl>
  </w:abstractNum>
  <w:abstractNum w:abstractNumId="1">
    <w:nsid w:val="3D6F1423"/>
    <w:multiLevelType w:val="hybridMultilevel"/>
    <w:tmpl w:val="81F069B6"/>
    <w:lvl w:ilvl="0" w:tplc="D4BA71B0">
      <w:start w:val="12"/>
      <w:numFmt w:val="upperLetter"/>
      <w:lvlText w:val="%1."/>
      <w:lvlJc w:val="left"/>
      <w:pPr>
        <w:ind w:left="108" w:hanging="252"/>
        <w:jc w:val="left"/>
      </w:pPr>
      <w:rPr>
        <w:rFonts w:ascii="Palatino Linotype" w:eastAsia="Palatino Linotype" w:hAnsi="Palatino Linotype" w:hint="default"/>
        <w:w w:val="100"/>
        <w:sz w:val="21"/>
        <w:szCs w:val="21"/>
      </w:rPr>
    </w:lvl>
    <w:lvl w:ilvl="1" w:tplc="DE2A71BC">
      <w:start w:val="1"/>
      <w:numFmt w:val="upperLetter"/>
      <w:lvlText w:val="(%2)"/>
      <w:lvlJc w:val="left"/>
      <w:pPr>
        <w:ind w:left="1968" w:hanging="420"/>
        <w:jc w:val="left"/>
      </w:pPr>
      <w:rPr>
        <w:rFonts w:ascii="Palatino Linotype" w:eastAsia="Palatino Linotype" w:hAnsi="Palatino Linotype" w:hint="default"/>
        <w:spacing w:val="-2"/>
        <w:w w:val="100"/>
        <w:sz w:val="22"/>
        <w:szCs w:val="22"/>
      </w:rPr>
    </w:lvl>
    <w:lvl w:ilvl="2" w:tplc="BABE8972">
      <w:start w:val="1"/>
      <w:numFmt w:val="lowerRoman"/>
      <w:lvlText w:val="%3."/>
      <w:lvlJc w:val="left"/>
      <w:pPr>
        <w:ind w:left="2629" w:hanging="301"/>
        <w:jc w:val="right"/>
      </w:pPr>
      <w:rPr>
        <w:rFonts w:ascii="Palatino Linotype" w:eastAsia="Palatino Linotype" w:hAnsi="Palatino Linotype" w:hint="default"/>
        <w:w w:val="100"/>
        <w:sz w:val="22"/>
        <w:szCs w:val="22"/>
      </w:rPr>
    </w:lvl>
    <w:lvl w:ilvl="3" w:tplc="82988E3A">
      <w:start w:val="1"/>
      <w:numFmt w:val="bullet"/>
      <w:lvlText w:val="•"/>
      <w:lvlJc w:val="left"/>
      <w:pPr>
        <w:ind w:left="3417" w:hanging="301"/>
      </w:pPr>
      <w:rPr>
        <w:rFonts w:hint="default"/>
      </w:rPr>
    </w:lvl>
    <w:lvl w:ilvl="4" w:tplc="EA6CDEE0">
      <w:start w:val="1"/>
      <w:numFmt w:val="bullet"/>
      <w:lvlText w:val="•"/>
      <w:lvlJc w:val="left"/>
      <w:pPr>
        <w:ind w:left="4215" w:hanging="301"/>
      </w:pPr>
      <w:rPr>
        <w:rFonts w:hint="default"/>
      </w:rPr>
    </w:lvl>
    <w:lvl w:ilvl="5" w:tplc="C242FDA6">
      <w:start w:val="1"/>
      <w:numFmt w:val="bullet"/>
      <w:lvlText w:val="•"/>
      <w:lvlJc w:val="left"/>
      <w:pPr>
        <w:ind w:left="5012" w:hanging="301"/>
      </w:pPr>
      <w:rPr>
        <w:rFonts w:hint="default"/>
      </w:rPr>
    </w:lvl>
    <w:lvl w:ilvl="6" w:tplc="97D69A72">
      <w:start w:val="1"/>
      <w:numFmt w:val="bullet"/>
      <w:lvlText w:val="•"/>
      <w:lvlJc w:val="left"/>
      <w:pPr>
        <w:ind w:left="5810" w:hanging="301"/>
      </w:pPr>
      <w:rPr>
        <w:rFonts w:hint="default"/>
      </w:rPr>
    </w:lvl>
    <w:lvl w:ilvl="7" w:tplc="A91E87B2">
      <w:start w:val="1"/>
      <w:numFmt w:val="bullet"/>
      <w:lvlText w:val="•"/>
      <w:lvlJc w:val="left"/>
      <w:pPr>
        <w:ind w:left="6607" w:hanging="301"/>
      </w:pPr>
      <w:rPr>
        <w:rFonts w:hint="default"/>
      </w:rPr>
    </w:lvl>
    <w:lvl w:ilvl="8" w:tplc="44F6239C">
      <w:start w:val="1"/>
      <w:numFmt w:val="bullet"/>
      <w:lvlText w:val="•"/>
      <w:lvlJc w:val="left"/>
      <w:pPr>
        <w:ind w:left="7405" w:hanging="301"/>
      </w:pPr>
      <w:rPr>
        <w:rFonts w:hint="default"/>
      </w:rPr>
    </w:lvl>
  </w:abstractNum>
  <w:abstractNum w:abstractNumId="2">
    <w:nsid w:val="593B01A3"/>
    <w:multiLevelType w:val="hybridMultilevel"/>
    <w:tmpl w:val="0CFC7A22"/>
    <w:lvl w:ilvl="0" w:tplc="0816B14E">
      <w:start w:val="5"/>
      <w:numFmt w:val="lowerRoman"/>
      <w:lvlText w:val="%1."/>
      <w:lvlJc w:val="left"/>
      <w:pPr>
        <w:ind w:left="108" w:hanging="209"/>
        <w:jc w:val="left"/>
      </w:pPr>
      <w:rPr>
        <w:rFonts w:ascii="Palatino Linotype" w:eastAsia="Palatino Linotype" w:hAnsi="Palatino Linotype" w:hint="default"/>
        <w:i/>
        <w:spacing w:val="-12"/>
        <w:w w:val="100"/>
        <w:sz w:val="22"/>
        <w:szCs w:val="22"/>
      </w:rPr>
    </w:lvl>
    <w:lvl w:ilvl="1" w:tplc="AFC257C4">
      <w:start w:val="1"/>
      <w:numFmt w:val="upperLetter"/>
      <w:lvlText w:val="%2."/>
      <w:lvlJc w:val="left"/>
      <w:pPr>
        <w:ind w:left="1548" w:hanging="720"/>
        <w:jc w:val="right"/>
      </w:pPr>
      <w:rPr>
        <w:rFonts w:ascii="Palatino Linotype" w:eastAsia="Palatino Linotype" w:hAnsi="Palatino Linotype" w:hint="default"/>
        <w:b/>
        <w:bCs/>
        <w:spacing w:val="0"/>
        <w:w w:val="100"/>
        <w:sz w:val="22"/>
        <w:szCs w:val="22"/>
      </w:rPr>
    </w:lvl>
    <w:lvl w:ilvl="2" w:tplc="77B49760">
      <w:start w:val="1"/>
      <w:numFmt w:val="bullet"/>
      <w:lvlText w:val="•"/>
      <w:lvlJc w:val="left"/>
      <w:pPr>
        <w:ind w:left="2368" w:hanging="720"/>
      </w:pPr>
      <w:rPr>
        <w:rFonts w:hint="default"/>
      </w:rPr>
    </w:lvl>
    <w:lvl w:ilvl="3" w:tplc="DC122F04">
      <w:start w:val="1"/>
      <w:numFmt w:val="bullet"/>
      <w:lvlText w:val="•"/>
      <w:lvlJc w:val="left"/>
      <w:pPr>
        <w:ind w:left="3197" w:hanging="720"/>
      </w:pPr>
      <w:rPr>
        <w:rFonts w:hint="default"/>
      </w:rPr>
    </w:lvl>
    <w:lvl w:ilvl="4" w:tplc="1F682FE6">
      <w:start w:val="1"/>
      <w:numFmt w:val="bullet"/>
      <w:lvlText w:val="•"/>
      <w:lvlJc w:val="left"/>
      <w:pPr>
        <w:ind w:left="4026" w:hanging="720"/>
      </w:pPr>
      <w:rPr>
        <w:rFonts w:hint="default"/>
      </w:rPr>
    </w:lvl>
    <w:lvl w:ilvl="5" w:tplc="147AD920">
      <w:start w:val="1"/>
      <w:numFmt w:val="bullet"/>
      <w:lvlText w:val="•"/>
      <w:lvlJc w:val="left"/>
      <w:pPr>
        <w:ind w:left="4855" w:hanging="720"/>
      </w:pPr>
      <w:rPr>
        <w:rFonts w:hint="default"/>
      </w:rPr>
    </w:lvl>
    <w:lvl w:ilvl="6" w:tplc="552E1A90">
      <w:start w:val="1"/>
      <w:numFmt w:val="bullet"/>
      <w:lvlText w:val="•"/>
      <w:lvlJc w:val="left"/>
      <w:pPr>
        <w:ind w:left="5684" w:hanging="720"/>
      </w:pPr>
      <w:rPr>
        <w:rFonts w:hint="default"/>
      </w:rPr>
    </w:lvl>
    <w:lvl w:ilvl="7" w:tplc="5FCA622C">
      <w:start w:val="1"/>
      <w:numFmt w:val="bullet"/>
      <w:lvlText w:val="•"/>
      <w:lvlJc w:val="left"/>
      <w:pPr>
        <w:ind w:left="6513" w:hanging="720"/>
      </w:pPr>
      <w:rPr>
        <w:rFonts w:hint="default"/>
      </w:rPr>
    </w:lvl>
    <w:lvl w:ilvl="8" w:tplc="9CE6CAC4">
      <w:start w:val="1"/>
      <w:numFmt w:val="bullet"/>
      <w:lvlText w:val="•"/>
      <w:lvlJc w:val="left"/>
      <w:pPr>
        <w:ind w:left="7342"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Fs3Qm0yryv7CSwQYGnKZXTrXEzQ=" w:salt="+3BP/kjb+LOhMnS7DbDK2A=="/>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A1594"/>
    <w:rsid w:val="00073D1D"/>
    <w:rsid w:val="002A1594"/>
    <w:rsid w:val="003E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sz w:val="24"/>
      <w:szCs w:val="24"/>
    </w:rPr>
  </w:style>
  <w:style w:type="paragraph" w:styleId="Heading2">
    <w:name w:val="heading 2"/>
    <w:basedOn w:val="Normal"/>
    <w:uiPriority w:val="1"/>
    <w:qFormat/>
    <w:pPr>
      <w:ind w:left="157"/>
      <w:outlineLvl w:val="1"/>
    </w:pPr>
    <w:rPr>
      <w:rFonts w:ascii="Times New Roman" w:eastAsia="Times New Roman" w:hAnsi="Times New Roman"/>
      <w:sz w:val="23"/>
      <w:szCs w:val="23"/>
    </w:rPr>
  </w:style>
  <w:style w:type="paragraph" w:styleId="Heading3">
    <w:name w:val="heading 3"/>
    <w:basedOn w:val="Normal"/>
    <w:uiPriority w:val="1"/>
    <w:qFormat/>
    <w:pPr>
      <w:ind w:left="1548" w:hanging="720"/>
      <w:outlineLvl w:val="2"/>
    </w:pPr>
    <w:rPr>
      <w:rFonts w:ascii="Palatino Linotype" w:eastAsia="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8"/>
      <w:ind w:left="108"/>
    </w:pPr>
    <w:rPr>
      <w:rFonts w:ascii="Palatino Linotype" w:eastAsia="Palatino Linotype" w:hAnsi="Palatino Linotyp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16757</Words>
  <Characters>95516</Characters>
  <Application>Microsoft Office Word</Application>
  <DocSecurity>8</DocSecurity>
  <Lines>795</Lines>
  <Paragraphs>224</Paragraphs>
  <ScaleCrop>false</ScaleCrop>
  <Company>Windows User</Company>
  <LinksUpToDate>false</LinksUpToDate>
  <CharactersWithSpaces>112049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James Randisi</cp:lastModifiedBy>
  <cp:revision>2</cp:revision>
  <dcterms:created xsi:type="dcterms:W3CDTF">2015-10-31T20:31:00Z</dcterms:created>
  <dcterms:modified xsi:type="dcterms:W3CDTF">2015-11-02T01:07:00Z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2014-03-06T00:00:00Z</vt:filetime>
  </property>
  <property fmtid="{D5CDD505-2E9C-101B-9397-08002B2CF9AE}" pid="3" name="Creator">
    <vt:lpwstr>Adobe Acrobat Pro 9.3.0</vt:lpwstr>
  </property>
  <property fmtid="{D5CDD505-2E9C-101B-9397-08002B2CF9AE}" pid="4" name="LastSaved">
    <vt:filetime>2015-10-31T00:00:00Z</vt:filetime>
  </property>
</Properties>
</file>